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8DD6" w14:textId="144C7445" w:rsidR="001B2EF6" w:rsidRPr="009C1781" w:rsidRDefault="001B2EF6" w:rsidP="00A87279">
      <w:pPr>
        <w:autoSpaceDN w:val="0"/>
        <w:spacing w:before="100" w:beforeAutospacing="1" w:after="100" w:afterAutospacing="1" w:line="240" w:lineRule="auto"/>
        <w:ind w:left="708"/>
        <w:rPr>
          <w:rFonts w:ascii="Times New Roman" w:eastAsia="Times New Roman" w:hAnsi="Times New Roman" w:cs="Times New Roman"/>
          <w:sz w:val="16"/>
          <w:szCs w:val="16"/>
          <w:lang w:eastAsia="pl-PL"/>
        </w:rPr>
      </w:pPr>
      <w:r w:rsidRPr="009C1781">
        <w:rPr>
          <w:rFonts w:ascii="Times New Roman" w:eastAsia="Times New Roman" w:hAnsi="Times New Roman" w:cs="Times New Roman"/>
          <w:sz w:val="16"/>
          <w:szCs w:val="16"/>
          <w:lang w:eastAsia="pl-PL"/>
        </w:rPr>
        <w:t>Załącznik do ustawy z dnia 20 maja 2021 r. o ochronie praw nabywcy lokalu mieszkalnego lub domu jednorodzinnego oraz Deweloperskim Funduszu Gwarancyjnym</w:t>
      </w:r>
      <w:r w:rsidR="00975B83" w:rsidRPr="009C1781">
        <w:rPr>
          <w:rFonts w:ascii="Times New Roman" w:eastAsia="Times New Roman" w:hAnsi="Times New Roman" w:cs="Times New Roman"/>
          <w:sz w:val="16"/>
          <w:szCs w:val="16"/>
          <w:lang w:eastAsia="pl-PL"/>
        </w:rPr>
        <w:t xml:space="preserve"> </w:t>
      </w:r>
      <w:r w:rsidR="00975B83" w:rsidRPr="009C1781">
        <w:rPr>
          <w:rFonts w:ascii="Times New Roman" w:hAnsi="Times New Roman" w:cs="Times New Roman"/>
          <w:sz w:val="16"/>
          <w:szCs w:val="16"/>
        </w:rPr>
        <w:t>(poz. 1177)</w:t>
      </w:r>
      <w:r w:rsidRPr="009C1781">
        <w:rPr>
          <w:rFonts w:ascii="Times New Roman" w:eastAsia="Times New Roman" w:hAnsi="Times New Roman" w:cs="Times New Roman"/>
          <w:sz w:val="20"/>
          <w:szCs w:val="20"/>
          <w:lang w:eastAsia="pl-PL"/>
        </w:rPr>
        <w:t> </w:t>
      </w:r>
    </w:p>
    <w:p w14:paraId="79D63A73" w14:textId="10D8DA53" w:rsidR="001B2EF6" w:rsidRDefault="001B2EF6" w:rsidP="00A95A80">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 xml:space="preserve">Stan na dzień sporządzenia prospektu </w:t>
      </w:r>
      <w:r w:rsidRPr="00B32545">
        <w:rPr>
          <w:rFonts w:ascii="Times New Roman" w:eastAsia="Times New Roman" w:hAnsi="Times New Roman" w:cs="Times New Roman"/>
          <w:b/>
          <w:bCs/>
          <w:sz w:val="20"/>
          <w:szCs w:val="20"/>
          <w:lang w:eastAsia="pl-PL"/>
        </w:rPr>
        <w:t xml:space="preserve">informacyjnego </w:t>
      </w:r>
      <w:r w:rsidR="00591C23" w:rsidRPr="00B32545">
        <w:rPr>
          <w:rFonts w:ascii="Times New Roman" w:eastAsia="Times New Roman" w:hAnsi="Times New Roman" w:cs="Times New Roman"/>
          <w:b/>
          <w:bCs/>
          <w:sz w:val="20"/>
          <w:szCs w:val="20"/>
          <w:lang w:eastAsia="pl-PL"/>
        </w:rPr>
        <w:t xml:space="preserve"> </w:t>
      </w:r>
      <w:r w:rsidR="00A95A80" w:rsidRPr="00B32545">
        <w:rPr>
          <w:rFonts w:ascii="Times New Roman" w:eastAsia="Times New Roman" w:hAnsi="Times New Roman" w:cs="Times New Roman"/>
          <w:b/>
          <w:bCs/>
          <w:sz w:val="20"/>
          <w:szCs w:val="20"/>
          <w:lang w:eastAsia="pl-PL"/>
        </w:rPr>
        <w:t xml:space="preserve">                                                              </w:t>
      </w:r>
      <w:r w:rsidRPr="00B32545">
        <w:rPr>
          <w:rFonts w:ascii="Times New Roman" w:eastAsia="Times New Roman" w:hAnsi="Times New Roman" w:cs="Times New Roman"/>
          <w:sz w:val="20"/>
          <w:szCs w:val="20"/>
          <w:lang w:eastAsia="pl-PL"/>
        </w:rPr>
        <w:t>Data</w:t>
      </w:r>
      <w:r w:rsidR="009F743A" w:rsidRPr="00B32545">
        <w:rPr>
          <w:rFonts w:ascii="Times New Roman" w:eastAsia="Times New Roman" w:hAnsi="Times New Roman" w:cs="Times New Roman"/>
          <w:sz w:val="20"/>
          <w:szCs w:val="20"/>
          <w:lang w:eastAsia="pl-PL"/>
        </w:rPr>
        <w:t>:</w:t>
      </w:r>
      <w:r w:rsidRPr="00B32545">
        <w:rPr>
          <w:rFonts w:ascii="Times New Roman" w:eastAsia="Times New Roman" w:hAnsi="Times New Roman" w:cs="Times New Roman"/>
          <w:sz w:val="20"/>
          <w:szCs w:val="20"/>
          <w:lang w:eastAsia="pl-PL"/>
        </w:rPr>
        <w:t xml:space="preserve"> </w:t>
      </w:r>
      <w:r w:rsidR="00B32545" w:rsidRPr="00B32545">
        <w:rPr>
          <w:rFonts w:ascii="Times New Roman" w:eastAsia="Times New Roman" w:hAnsi="Times New Roman" w:cs="Times New Roman"/>
          <w:sz w:val="20"/>
          <w:szCs w:val="20"/>
          <w:lang w:eastAsia="pl-PL"/>
        </w:rPr>
        <w:t>1</w:t>
      </w:r>
      <w:r w:rsidR="00381B23">
        <w:rPr>
          <w:rFonts w:ascii="Times New Roman" w:eastAsia="Times New Roman" w:hAnsi="Times New Roman" w:cs="Times New Roman"/>
          <w:sz w:val="20"/>
          <w:szCs w:val="20"/>
          <w:lang w:eastAsia="pl-PL"/>
        </w:rPr>
        <w:t>7</w:t>
      </w:r>
      <w:r w:rsidR="00B32545" w:rsidRPr="00B32545">
        <w:rPr>
          <w:rFonts w:ascii="Times New Roman" w:eastAsia="Times New Roman" w:hAnsi="Times New Roman" w:cs="Times New Roman"/>
          <w:sz w:val="20"/>
          <w:szCs w:val="20"/>
          <w:lang w:eastAsia="pl-PL"/>
        </w:rPr>
        <w:t>.12.</w:t>
      </w:r>
      <w:r w:rsidR="00FF47E7" w:rsidRPr="00B32545">
        <w:rPr>
          <w:rFonts w:ascii="Times New Roman" w:eastAsia="Times New Roman" w:hAnsi="Times New Roman" w:cs="Times New Roman"/>
          <w:sz w:val="20"/>
          <w:szCs w:val="20"/>
          <w:lang w:eastAsia="pl-PL"/>
        </w:rPr>
        <w:t>202</w:t>
      </w:r>
      <w:r w:rsidR="00CF16FB" w:rsidRPr="00B32545">
        <w:rPr>
          <w:rFonts w:ascii="Times New Roman" w:eastAsia="Times New Roman" w:hAnsi="Times New Roman" w:cs="Times New Roman"/>
          <w:sz w:val="20"/>
          <w:szCs w:val="20"/>
          <w:lang w:eastAsia="pl-PL"/>
        </w:rPr>
        <w:t>5</w:t>
      </w:r>
      <w:r w:rsidR="00FF47E7" w:rsidRPr="00B32545">
        <w:rPr>
          <w:rFonts w:ascii="Times New Roman" w:eastAsia="Times New Roman" w:hAnsi="Times New Roman" w:cs="Times New Roman"/>
          <w:sz w:val="20"/>
          <w:szCs w:val="20"/>
          <w:lang w:eastAsia="pl-PL"/>
        </w:rPr>
        <w:t>r</w:t>
      </w:r>
    </w:p>
    <w:p w14:paraId="584AB2D3" w14:textId="77777777" w:rsidR="00A95A80" w:rsidRPr="009C1781" w:rsidRDefault="00A95A80" w:rsidP="00A95A80">
      <w:pPr>
        <w:autoSpaceDN w:val="0"/>
        <w:spacing w:before="144" w:after="144" w:line="240" w:lineRule="auto"/>
        <w:jc w:val="both"/>
        <w:rPr>
          <w:rFonts w:ascii="Times New Roman" w:eastAsia="Times New Roman" w:hAnsi="Times New Roman" w:cs="Times New Roman"/>
          <w:sz w:val="20"/>
          <w:szCs w:val="20"/>
          <w:lang w:eastAsia="pl-PL"/>
        </w:rPr>
      </w:pPr>
    </w:p>
    <w:p w14:paraId="3A2252E3" w14:textId="1E414D4A" w:rsidR="001B2EF6" w:rsidRPr="009C1781" w:rsidRDefault="001B2EF6" w:rsidP="00A87279">
      <w:pPr>
        <w:autoSpaceDN w:val="0"/>
        <w:spacing w:before="144" w:after="144" w:line="240" w:lineRule="auto"/>
        <w:jc w:val="center"/>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 PROSPEKT INFORMACYJNY  </w:t>
      </w:r>
      <w:r w:rsidR="00B54322">
        <w:rPr>
          <w:rFonts w:ascii="Times New Roman" w:eastAsia="Times New Roman" w:hAnsi="Times New Roman" w:cs="Times New Roman"/>
          <w:b/>
          <w:bCs/>
          <w:sz w:val="20"/>
          <w:szCs w:val="20"/>
          <w:lang w:eastAsia="pl-PL"/>
        </w:rPr>
        <w:t xml:space="preserve"> </w:t>
      </w:r>
    </w:p>
    <w:p w14:paraId="51D297AB" w14:textId="77777777" w:rsidR="001B2EF6" w:rsidRPr="009C1781"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CZĘŚĆ OGÓLNA</w:t>
      </w:r>
    </w:p>
    <w:p w14:paraId="119E7464" w14:textId="77777777" w:rsidR="001B2EF6" w:rsidRPr="009C1781" w:rsidRDefault="001B2EF6" w:rsidP="00E06B7E">
      <w:pPr>
        <w:autoSpaceDN w:val="0"/>
        <w:spacing w:before="100" w:beforeAutospacing="1" w:after="100" w:afterAutospacing="1" w:line="240" w:lineRule="auto"/>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I.                DANE IDENTYFIKACYJNE I KONTAKTOWE DOTYCZĄCE DEWELOPERA</w:t>
      </w:r>
    </w:p>
    <w:tbl>
      <w:tblPr>
        <w:tblpPr w:leftFromText="141" w:rightFromText="141" w:bottomFromText="115" w:vertAnchor="text"/>
        <w:tblW w:w="9648" w:type="dxa"/>
        <w:tblCellMar>
          <w:left w:w="0" w:type="dxa"/>
          <w:right w:w="0" w:type="dxa"/>
        </w:tblCellMar>
        <w:tblLook w:val="04A0" w:firstRow="1" w:lastRow="0" w:firstColumn="1" w:lastColumn="0" w:noHBand="0" w:noVBand="1"/>
      </w:tblPr>
      <w:tblGrid>
        <w:gridCol w:w="2988"/>
        <w:gridCol w:w="3240"/>
        <w:gridCol w:w="3420"/>
      </w:tblGrid>
      <w:tr w:rsidR="001B2EF6" w:rsidRPr="009C1781" w14:paraId="3B5107FD" w14:textId="77777777" w:rsidTr="00A87279">
        <w:trPr>
          <w:trHeight w:val="547"/>
        </w:trPr>
        <w:tc>
          <w:tcPr>
            <w:tcW w:w="9648" w:type="dxa"/>
            <w:gridSpan w:val="3"/>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6E3E81D"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 xml:space="preserve">DANE </w:t>
            </w:r>
            <w:r w:rsidRPr="009C1781">
              <w:rPr>
                <w:rFonts w:ascii="Times New Roman" w:eastAsia="Times New Roman" w:hAnsi="Times New Roman" w:cs="Times New Roman"/>
                <w:b/>
                <w:bCs/>
                <w:color w:val="000000"/>
                <w:sz w:val="20"/>
                <w:szCs w:val="20"/>
                <w:lang w:eastAsia="pl-PL"/>
              </w:rPr>
              <w:t>DEWELOPERA</w:t>
            </w:r>
          </w:p>
          <w:p w14:paraId="704C5475"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 </w:t>
            </w:r>
          </w:p>
        </w:tc>
      </w:tr>
      <w:tr w:rsidR="001B2EF6" w:rsidRPr="009C1781" w14:paraId="7617265C" w14:textId="77777777" w:rsidTr="000F6BB2">
        <w:trPr>
          <w:trHeight w:val="375"/>
        </w:trPr>
        <w:tc>
          <w:tcPr>
            <w:tcW w:w="298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EAC3593"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Deweloper</w:t>
            </w:r>
          </w:p>
        </w:tc>
        <w:tc>
          <w:tcPr>
            <w:tcW w:w="6660" w:type="dxa"/>
            <w:gridSpan w:val="2"/>
            <w:tcBorders>
              <w:top w:val="nil"/>
              <w:left w:val="nil"/>
              <w:bottom w:val="single" w:sz="8" w:space="0" w:color="auto"/>
              <w:right w:val="single" w:sz="8" w:space="0" w:color="auto"/>
            </w:tcBorders>
            <w:tcMar>
              <w:top w:w="0" w:type="dxa"/>
              <w:left w:w="108" w:type="dxa"/>
              <w:bottom w:w="0" w:type="dxa"/>
              <w:right w:w="108" w:type="dxa"/>
            </w:tcMar>
          </w:tcPr>
          <w:p w14:paraId="1F9018E1" w14:textId="1AFCF6FC" w:rsidR="001B2EF6" w:rsidRPr="00AB7BD6" w:rsidRDefault="00AB7BD6" w:rsidP="009F743A">
            <w:pPr>
              <w:shd w:val="clear" w:color="auto" w:fill="FFFFFF"/>
              <w:snapToGrid w:val="0"/>
              <w:spacing w:before="30" w:line="360" w:lineRule="auto"/>
              <w:rPr>
                <w:rFonts w:ascii="Times New Roman" w:hAnsi="Times New Roman" w:cs="Times New Roman"/>
                <w:b/>
                <w:bCs/>
                <w:color w:val="000000"/>
                <w:sz w:val="20"/>
                <w:szCs w:val="20"/>
                <w:lang w:val="en-US"/>
              </w:rPr>
            </w:pPr>
            <w:r w:rsidRPr="005A58C0">
              <w:rPr>
                <w:rFonts w:ascii="Times New Roman" w:hAnsi="Times New Roman" w:cs="Times New Roman"/>
                <w:b/>
                <w:bCs/>
                <w:sz w:val="20"/>
                <w:szCs w:val="20"/>
              </w:rPr>
              <w:t>INVEST COMPLEX NA MIASTECZKU SPÓŁKA Z OGRANICZONĄ ODPOWIEDZIALNOŚCIĄ</w:t>
            </w:r>
          </w:p>
        </w:tc>
      </w:tr>
      <w:tr w:rsidR="001B2EF6" w:rsidRPr="009C1781" w14:paraId="192964F9" w14:textId="77777777" w:rsidTr="00EF123B">
        <w:trPr>
          <w:trHeight w:val="637"/>
        </w:trPr>
        <w:tc>
          <w:tcPr>
            <w:tcW w:w="298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71278138"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xml:space="preserve">Adres </w:t>
            </w:r>
          </w:p>
        </w:tc>
        <w:tc>
          <w:tcPr>
            <w:tcW w:w="66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FE0C44" w14:textId="69DACEC2" w:rsidR="001B2EF6" w:rsidRPr="009C1781" w:rsidRDefault="00EF123B"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hAnsi="Times New Roman" w:cs="Times New Roman"/>
                <w:sz w:val="20"/>
                <w:szCs w:val="20"/>
              </w:rPr>
              <w:t>62-020 Garby, ulica Prosta 15</w:t>
            </w:r>
          </w:p>
        </w:tc>
      </w:tr>
      <w:tr w:rsidR="001B2EF6" w:rsidRPr="009C1781" w14:paraId="6711486D" w14:textId="77777777" w:rsidTr="001B2EF6">
        <w:trPr>
          <w:trHeight w:val="188"/>
        </w:trPr>
        <w:tc>
          <w:tcPr>
            <w:tcW w:w="298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641356E2"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Numer NIP i REGON</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4F8FF4E" w14:textId="22DDB133" w:rsidR="001B2EF6" w:rsidRPr="005A58C0" w:rsidRDefault="001B2EF6" w:rsidP="001B2EF6">
            <w:pPr>
              <w:autoSpaceDN w:val="0"/>
              <w:spacing w:before="144" w:after="144" w:line="240" w:lineRule="auto"/>
              <w:jc w:val="both"/>
              <w:rPr>
                <w:rFonts w:ascii="Times New Roman" w:hAnsi="Times New Roman" w:cs="Times New Roman"/>
                <w:sz w:val="20"/>
                <w:szCs w:val="20"/>
              </w:rPr>
            </w:pPr>
            <w:r w:rsidRPr="005A58C0">
              <w:rPr>
                <w:rFonts w:ascii="Times New Roman" w:hAnsi="Times New Roman" w:cs="Times New Roman"/>
                <w:sz w:val="20"/>
                <w:szCs w:val="20"/>
              </w:rPr>
              <w:t>NIP</w:t>
            </w:r>
            <w:r w:rsidR="00EF123B" w:rsidRPr="005A58C0">
              <w:rPr>
                <w:rFonts w:ascii="Times New Roman" w:hAnsi="Times New Roman" w:cs="Times New Roman"/>
                <w:sz w:val="20"/>
                <w:szCs w:val="20"/>
              </w:rPr>
              <w:t xml:space="preserve">: </w:t>
            </w:r>
            <w:r w:rsidR="00AB7BD6" w:rsidRPr="005A58C0">
              <w:rPr>
                <w:rFonts w:ascii="Times New Roman" w:hAnsi="Times New Roman" w:cs="Times New Roman"/>
                <w:sz w:val="20"/>
                <w:szCs w:val="20"/>
              </w:rPr>
              <w:t>7773415215</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6F67400E" w14:textId="1FCA3278" w:rsidR="001B2EF6" w:rsidRPr="005A58C0" w:rsidRDefault="001B2EF6" w:rsidP="001B2EF6">
            <w:pPr>
              <w:autoSpaceDN w:val="0"/>
              <w:spacing w:before="144" w:after="144" w:line="240" w:lineRule="auto"/>
              <w:jc w:val="both"/>
              <w:rPr>
                <w:rFonts w:ascii="Times New Roman" w:hAnsi="Times New Roman" w:cs="Times New Roman"/>
                <w:sz w:val="20"/>
                <w:szCs w:val="20"/>
              </w:rPr>
            </w:pPr>
            <w:r w:rsidRPr="005A58C0">
              <w:rPr>
                <w:rFonts w:ascii="Times New Roman" w:hAnsi="Times New Roman" w:cs="Times New Roman"/>
                <w:sz w:val="20"/>
                <w:szCs w:val="20"/>
              </w:rPr>
              <w:t>REGON</w:t>
            </w:r>
            <w:r w:rsidR="00EF123B" w:rsidRPr="005A58C0">
              <w:rPr>
                <w:rFonts w:ascii="Times New Roman" w:hAnsi="Times New Roman" w:cs="Times New Roman"/>
                <w:sz w:val="20"/>
                <w:szCs w:val="20"/>
              </w:rPr>
              <w:t xml:space="preserve">: </w:t>
            </w:r>
            <w:r w:rsidR="00AB7BD6" w:rsidRPr="005A58C0">
              <w:rPr>
                <w:rFonts w:ascii="Times New Roman" w:hAnsi="Times New Roman" w:cs="Times New Roman"/>
                <w:sz w:val="20"/>
                <w:szCs w:val="20"/>
              </w:rPr>
              <w:t>526888188</w:t>
            </w:r>
          </w:p>
        </w:tc>
      </w:tr>
      <w:tr w:rsidR="001B2EF6" w:rsidRPr="009C1781" w14:paraId="6DBE2034" w14:textId="77777777" w:rsidTr="001B2EF6">
        <w:tc>
          <w:tcPr>
            <w:tcW w:w="298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D147ACE"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Numer telefonu</w:t>
            </w:r>
          </w:p>
        </w:tc>
        <w:tc>
          <w:tcPr>
            <w:tcW w:w="66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B7F852" w14:textId="364F101A"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EF123B" w:rsidRPr="005A58C0">
              <w:rPr>
                <w:rFonts w:ascii="Times New Roman" w:hAnsi="Times New Roman" w:cs="Times New Roman"/>
                <w:sz w:val="20"/>
                <w:szCs w:val="20"/>
              </w:rPr>
              <w:t xml:space="preserve">724100840, 665120240, </w:t>
            </w:r>
            <w:r w:rsidR="00480189" w:rsidRPr="005A58C0">
              <w:rPr>
                <w:rFonts w:ascii="Times New Roman" w:hAnsi="Times New Roman" w:cs="Times New Roman"/>
                <w:sz w:val="20"/>
                <w:szCs w:val="20"/>
              </w:rPr>
              <w:t>512277358</w:t>
            </w:r>
          </w:p>
        </w:tc>
      </w:tr>
      <w:tr w:rsidR="001B2EF6" w:rsidRPr="009C1781" w14:paraId="14128389" w14:textId="77777777" w:rsidTr="001B2EF6">
        <w:trPr>
          <w:trHeight w:val="272"/>
        </w:trPr>
        <w:tc>
          <w:tcPr>
            <w:tcW w:w="298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31E6507F"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Adres poczty elektronicznej</w:t>
            </w:r>
          </w:p>
        </w:tc>
        <w:tc>
          <w:tcPr>
            <w:tcW w:w="66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AAD74D" w14:textId="2AA9A099"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480189" w:rsidRPr="005A58C0">
              <w:rPr>
                <w:rFonts w:ascii="Times New Roman" w:eastAsia="Times New Roman" w:hAnsi="Times New Roman" w:cs="Times New Roman"/>
                <w:sz w:val="20"/>
                <w:szCs w:val="20"/>
                <w:lang w:eastAsia="pl-PL"/>
              </w:rPr>
              <w:t>biuro@invest-complex.com</w:t>
            </w:r>
          </w:p>
        </w:tc>
      </w:tr>
      <w:tr w:rsidR="001B2EF6" w:rsidRPr="009C1781" w14:paraId="1F60C638" w14:textId="77777777" w:rsidTr="001B2EF6">
        <w:tc>
          <w:tcPr>
            <w:tcW w:w="298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54CDB3D"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Numer faksu</w:t>
            </w:r>
          </w:p>
        </w:tc>
        <w:tc>
          <w:tcPr>
            <w:tcW w:w="66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837D0B" w14:textId="430E8FB2"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480189" w:rsidRPr="005A58C0">
              <w:rPr>
                <w:rFonts w:ascii="Times New Roman" w:eastAsia="Times New Roman" w:hAnsi="Times New Roman" w:cs="Times New Roman"/>
                <w:sz w:val="20"/>
                <w:szCs w:val="20"/>
                <w:lang w:eastAsia="pl-PL"/>
              </w:rPr>
              <w:t>brak</w:t>
            </w:r>
          </w:p>
        </w:tc>
      </w:tr>
      <w:tr w:rsidR="001B2EF6" w:rsidRPr="009C1781" w14:paraId="25A23A1B" w14:textId="77777777" w:rsidTr="00A87279">
        <w:trPr>
          <w:trHeight w:val="372"/>
        </w:trPr>
        <w:tc>
          <w:tcPr>
            <w:tcW w:w="298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5EA12729"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Adres strony internetowej dewelopera</w:t>
            </w:r>
          </w:p>
        </w:tc>
        <w:tc>
          <w:tcPr>
            <w:tcW w:w="66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684169" w14:textId="0057A106"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480189" w:rsidRPr="005A58C0">
              <w:rPr>
                <w:rFonts w:ascii="Times New Roman" w:hAnsi="Times New Roman" w:cs="Times New Roman"/>
                <w:i/>
                <w:iCs/>
                <w:sz w:val="20"/>
                <w:szCs w:val="20"/>
              </w:rPr>
              <w:t xml:space="preserve"> </w:t>
            </w:r>
            <w:r w:rsidR="00480189" w:rsidRPr="005A58C0">
              <w:rPr>
                <w:rFonts w:ascii="Times New Roman" w:eastAsia="Times New Roman" w:hAnsi="Times New Roman" w:cs="Times New Roman"/>
                <w:sz w:val="20"/>
                <w:szCs w:val="20"/>
                <w:lang w:eastAsia="pl-PL"/>
              </w:rPr>
              <w:t>www.invest-complex.com</w:t>
            </w:r>
          </w:p>
        </w:tc>
      </w:tr>
    </w:tbl>
    <w:p w14:paraId="5B9BD2EE" w14:textId="77777777" w:rsidR="001B2EF6" w:rsidRPr="009C1781" w:rsidRDefault="001B2EF6" w:rsidP="001B2EF6">
      <w:pPr>
        <w:autoSpaceDN w:val="0"/>
        <w:spacing w:before="240" w:after="100" w:afterAutospacing="1" w:line="240" w:lineRule="auto"/>
        <w:ind w:left="1077" w:hanging="720"/>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II.               DOŚWIADCZENIE DEWELOPERA</w:t>
      </w:r>
    </w:p>
    <w:tbl>
      <w:tblPr>
        <w:tblpPr w:leftFromText="142" w:rightFromText="142" w:vertAnchor="text"/>
        <w:tblW w:w="9629" w:type="dxa"/>
        <w:tblCellMar>
          <w:left w:w="0" w:type="dxa"/>
          <w:right w:w="0" w:type="dxa"/>
        </w:tblCellMar>
        <w:tblLook w:val="04A0" w:firstRow="1" w:lastRow="0" w:firstColumn="1" w:lastColumn="0" w:noHBand="0" w:noVBand="1"/>
      </w:tblPr>
      <w:tblGrid>
        <w:gridCol w:w="9629"/>
      </w:tblGrid>
      <w:tr w:rsidR="001B2EF6" w:rsidRPr="009C1781" w14:paraId="5932DDC9" w14:textId="77777777" w:rsidTr="00E06B7E">
        <w:trPr>
          <w:trHeight w:val="704"/>
        </w:trPr>
        <w:tc>
          <w:tcPr>
            <w:tcW w:w="962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3F7EC5A"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HISTORIA I UDOKUMENTOWANE DOŚWIADCZENIE DEWELOPERA</w:t>
            </w:r>
          </w:p>
        </w:tc>
      </w:tr>
    </w:tbl>
    <w:tbl>
      <w:tblPr>
        <w:tblW w:w="9629" w:type="dxa"/>
        <w:tblCellMar>
          <w:left w:w="0" w:type="dxa"/>
          <w:right w:w="0" w:type="dxa"/>
        </w:tblCellMar>
        <w:tblLook w:val="04A0" w:firstRow="1" w:lastRow="0" w:firstColumn="1" w:lastColumn="0" w:noHBand="0" w:noVBand="1"/>
      </w:tblPr>
      <w:tblGrid>
        <w:gridCol w:w="2698"/>
        <w:gridCol w:w="6931"/>
      </w:tblGrid>
      <w:tr w:rsidR="001B2EF6" w:rsidRPr="009C1781" w14:paraId="53310C6A" w14:textId="77777777" w:rsidTr="00E06B7E">
        <w:tc>
          <w:tcPr>
            <w:tcW w:w="9629"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FB225DF" w14:textId="7520405F" w:rsidR="00480189" w:rsidRPr="009C1781" w:rsidRDefault="001B2EF6" w:rsidP="001B2EF6">
            <w:pPr>
              <w:autoSpaceDN w:val="0"/>
              <w:spacing w:before="144" w:after="144" w:line="240" w:lineRule="auto"/>
              <w:jc w:val="both"/>
              <w:rPr>
                <w:rFonts w:ascii="Times New Roman" w:eastAsia="Times New Roman" w:hAnsi="Times New Roman" w:cs="Times New Roman"/>
                <w:b/>
                <w:bCs/>
                <w:color w:val="000000"/>
                <w:sz w:val="20"/>
                <w:szCs w:val="20"/>
                <w:lang w:eastAsia="pl-PL"/>
              </w:rPr>
            </w:pPr>
            <w:r w:rsidRPr="009C1781">
              <w:rPr>
                <w:rFonts w:ascii="Times New Roman" w:eastAsia="Times New Roman" w:hAnsi="Times New Roman" w:cs="Times New Roman"/>
                <w:b/>
                <w:bCs/>
                <w:color w:val="000000"/>
                <w:sz w:val="20"/>
                <w:szCs w:val="20"/>
                <w:lang w:eastAsia="pl-PL"/>
              </w:rPr>
              <w:t>PRZYKŁAD UKOŃCZONEGO PRZEDSIĘWZIĘCIA DEWELOPERSKIEGO (należy wskazać, o ile istnieją, trzy ukończone przedsięwzięcia deweloperskie, w tym ostatnie)</w:t>
            </w:r>
          </w:p>
          <w:p w14:paraId="0F733E7D" w14:textId="293F1BF5" w:rsidR="00480189" w:rsidRPr="009C1781" w:rsidRDefault="00480189"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color w:val="000000"/>
                <w:sz w:val="20"/>
                <w:szCs w:val="20"/>
                <w:lang w:eastAsia="pl-PL"/>
              </w:rPr>
              <w:t>Brak</w:t>
            </w:r>
          </w:p>
        </w:tc>
      </w:tr>
      <w:tr w:rsidR="001B2EF6" w:rsidRPr="009C1781" w14:paraId="3C26BBB4" w14:textId="77777777" w:rsidTr="00E06B7E">
        <w:trPr>
          <w:trHeight w:val="135"/>
        </w:trPr>
        <w:tc>
          <w:tcPr>
            <w:tcW w:w="269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BB61188"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xml:space="preserve">Adres </w:t>
            </w:r>
          </w:p>
        </w:tc>
        <w:tc>
          <w:tcPr>
            <w:tcW w:w="6931" w:type="dxa"/>
            <w:tcBorders>
              <w:top w:val="nil"/>
              <w:left w:val="nil"/>
              <w:bottom w:val="single" w:sz="8" w:space="0" w:color="auto"/>
              <w:right w:val="single" w:sz="8" w:space="0" w:color="auto"/>
            </w:tcBorders>
            <w:tcMar>
              <w:top w:w="0" w:type="dxa"/>
              <w:left w:w="108" w:type="dxa"/>
              <w:bottom w:w="0" w:type="dxa"/>
              <w:right w:w="108" w:type="dxa"/>
            </w:tcMar>
            <w:hideMark/>
          </w:tcPr>
          <w:p w14:paraId="32CB4BC6"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27F612EA" w14:textId="77777777" w:rsidTr="00E06B7E">
        <w:tc>
          <w:tcPr>
            <w:tcW w:w="269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34FBBAE3"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xml:space="preserve">Data rozpoczęcia </w:t>
            </w:r>
          </w:p>
        </w:tc>
        <w:tc>
          <w:tcPr>
            <w:tcW w:w="6931" w:type="dxa"/>
            <w:tcBorders>
              <w:top w:val="nil"/>
              <w:left w:val="nil"/>
              <w:bottom w:val="single" w:sz="8" w:space="0" w:color="auto"/>
              <w:right w:val="single" w:sz="8" w:space="0" w:color="auto"/>
            </w:tcBorders>
            <w:tcMar>
              <w:top w:w="0" w:type="dxa"/>
              <w:left w:w="108" w:type="dxa"/>
              <w:bottom w:w="0" w:type="dxa"/>
              <w:right w:w="108" w:type="dxa"/>
            </w:tcMar>
            <w:hideMark/>
          </w:tcPr>
          <w:p w14:paraId="383D6FC8"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15067CCC" w14:textId="77777777" w:rsidTr="00A87279">
        <w:tc>
          <w:tcPr>
            <w:tcW w:w="2698" w:type="dxa"/>
            <w:tcBorders>
              <w:top w:val="nil"/>
              <w:left w:val="single" w:sz="8" w:space="0" w:color="auto"/>
              <w:bottom w:val="single" w:sz="4" w:space="0" w:color="auto"/>
              <w:right w:val="single" w:sz="8" w:space="0" w:color="auto"/>
            </w:tcBorders>
            <w:shd w:val="clear" w:color="auto" w:fill="F3F3F3"/>
            <w:tcMar>
              <w:top w:w="0" w:type="dxa"/>
              <w:left w:w="108" w:type="dxa"/>
              <w:bottom w:w="0" w:type="dxa"/>
              <w:right w:w="108" w:type="dxa"/>
            </w:tcMar>
            <w:hideMark/>
          </w:tcPr>
          <w:p w14:paraId="26406AE2"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Data wydania decyzji o pozwoleniu na użytkowanie</w:t>
            </w:r>
          </w:p>
        </w:tc>
        <w:tc>
          <w:tcPr>
            <w:tcW w:w="6931" w:type="dxa"/>
            <w:tcBorders>
              <w:top w:val="nil"/>
              <w:left w:val="nil"/>
              <w:bottom w:val="single" w:sz="4" w:space="0" w:color="auto"/>
              <w:right w:val="single" w:sz="8" w:space="0" w:color="auto"/>
            </w:tcBorders>
            <w:tcMar>
              <w:top w:w="0" w:type="dxa"/>
              <w:left w:w="108" w:type="dxa"/>
              <w:bottom w:w="0" w:type="dxa"/>
              <w:right w:w="108" w:type="dxa"/>
            </w:tcMar>
            <w:hideMark/>
          </w:tcPr>
          <w:p w14:paraId="10512BB5"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0434BB59" w14:textId="77777777" w:rsidTr="00A87279">
        <w:trPr>
          <w:trHeight w:val="425"/>
        </w:trPr>
        <w:tc>
          <w:tcPr>
            <w:tcW w:w="9629" w:type="dxa"/>
            <w:gridSpan w:val="2"/>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14:paraId="34EE60DF"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color w:val="000000"/>
                <w:sz w:val="20"/>
                <w:szCs w:val="20"/>
                <w:lang w:eastAsia="pl-PL"/>
              </w:rPr>
              <w:t>PRZYKŁAD INNEGO UKOŃCZONEGO PRZEDSIĘWZIĘCIA DEWELOPERSKIEGO</w:t>
            </w:r>
          </w:p>
          <w:p w14:paraId="38071EC8"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 </w:t>
            </w:r>
          </w:p>
        </w:tc>
      </w:tr>
      <w:tr w:rsidR="001B2EF6" w:rsidRPr="009C1781" w14:paraId="1D58F5DD" w14:textId="77777777" w:rsidTr="00A87279">
        <w:trPr>
          <w:trHeight w:val="135"/>
        </w:trPr>
        <w:tc>
          <w:tcPr>
            <w:tcW w:w="2698" w:type="dxa"/>
            <w:tcBorders>
              <w:top w:val="single" w:sz="4"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7603ECE4"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lastRenderedPageBreak/>
              <w:t xml:space="preserve">Adres </w:t>
            </w:r>
          </w:p>
        </w:tc>
        <w:tc>
          <w:tcPr>
            <w:tcW w:w="693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A3E37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413C12CC" w14:textId="77777777" w:rsidTr="00E06B7E">
        <w:tc>
          <w:tcPr>
            <w:tcW w:w="269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78DCDF45"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xml:space="preserve">Data rozpoczęcia </w:t>
            </w:r>
          </w:p>
        </w:tc>
        <w:tc>
          <w:tcPr>
            <w:tcW w:w="6931" w:type="dxa"/>
            <w:tcBorders>
              <w:top w:val="nil"/>
              <w:left w:val="nil"/>
              <w:bottom w:val="single" w:sz="8" w:space="0" w:color="auto"/>
              <w:right w:val="single" w:sz="8" w:space="0" w:color="auto"/>
            </w:tcBorders>
            <w:tcMar>
              <w:top w:w="0" w:type="dxa"/>
              <w:left w:w="108" w:type="dxa"/>
              <w:bottom w:w="0" w:type="dxa"/>
              <w:right w:w="108" w:type="dxa"/>
            </w:tcMar>
            <w:hideMark/>
          </w:tcPr>
          <w:p w14:paraId="4C6E5EEA"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6E1E3D1C" w14:textId="77777777" w:rsidTr="00E06B7E">
        <w:tc>
          <w:tcPr>
            <w:tcW w:w="269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38A9E324"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Data wydania decyzji o pozwoleniu na użytkowanie</w:t>
            </w:r>
          </w:p>
        </w:tc>
        <w:tc>
          <w:tcPr>
            <w:tcW w:w="6931" w:type="dxa"/>
            <w:tcBorders>
              <w:top w:val="nil"/>
              <w:left w:val="nil"/>
              <w:bottom w:val="single" w:sz="8" w:space="0" w:color="auto"/>
              <w:right w:val="single" w:sz="8" w:space="0" w:color="auto"/>
            </w:tcBorders>
            <w:tcMar>
              <w:top w:w="0" w:type="dxa"/>
              <w:left w:w="108" w:type="dxa"/>
              <w:bottom w:w="0" w:type="dxa"/>
              <w:right w:w="108" w:type="dxa"/>
            </w:tcMar>
            <w:hideMark/>
          </w:tcPr>
          <w:p w14:paraId="687BBD68"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053C6154" w14:textId="77777777" w:rsidTr="00E06B7E">
        <w:tc>
          <w:tcPr>
            <w:tcW w:w="9629" w:type="dxa"/>
            <w:gridSpan w:val="2"/>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91B3E74" w14:textId="77777777" w:rsidR="001B2EF6" w:rsidRPr="009C1781" w:rsidRDefault="001B2EF6" w:rsidP="001B2EF6">
            <w:pPr>
              <w:autoSpaceDN w:val="0"/>
              <w:spacing w:before="100" w:beforeAutospacing="1" w:after="100" w:afterAutospacing="1"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color w:val="000000"/>
                <w:sz w:val="20"/>
                <w:szCs w:val="20"/>
                <w:lang w:eastAsia="pl-PL"/>
              </w:rPr>
              <w:t>PRZYKŁAD OSTATNIEGO UKOŃCZONEGO PRZEDSIĘWZIĘCIA DEWELOPERSKIEGO</w:t>
            </w:r>
          </w:p>
          <w:p w14:paraId="4537B58B" w14:textId="77777777" w:rsidR="001B2EF6" w:rsidRPr="009C1781" w:rsidRDefault="001B2EF6" w:rsidP="001B2EF6">
            <w:pPr>
              <w:autoSpaceDN w:val="0"/>
              <w:spacing w:before="100" w:beforeAutospacing="1" w:after="100" w:afterAutospacing="1"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 </w:t>
            </w:r>
          </w:p>
        </w:tc>
      </w:tr>
      <w:tr w:rsidR="001B2EF6" w:rsidRPr="009C1781" w14:paraId="0A7A0284" w14:textId="77777777" w:rsidTr="00E06B7E">
        <w:trPr>
          <w:trHeight w:val="135"/>
        </w:trPr>
        <w:tc>
          <w:tcPr>
            <w:tcW w:w="269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786E8018"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xml:space="preserve">Adres </w:t>
            </w:r>
          </w:p>
        </w:tc>
        <w:tc>
          <w:tcPr>
            <w:tcW w:w="6931" w:type="dxa"/>
            <w:tcBorders>
              <w:top w:val="nil"/>
              <w:left w:val="nil"/>
              <w:bottom w:val="single" w:sz="8" w:space="0" w:color="auto"/>
              <w:right w:val="single" w:sz="8" w:space="0" w:color="auto"/>
            </w:tcBorders>
            <w:tcMar>
              <w:top w:w="0" w:type="dxa"/>
              <w:left w:w="108" w:type="dxa"/>
              <w:bottom w:w="0" w:type="dxa"/>
              <w:right w:w="108" w:type="dxa"/>
            </w:tcMar>
            <w:hideMark/>
          </w:tcPr>
          <w:p w14:paraId="42351BD8"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474E0B2A" w14:textId="77777777" w:rsidTr="00E06B7E">
        <w:tc>
          <w:tcPr>
            <w:tcW w:w="269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05BF3BA7"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xml:space="preserve">Data rozpoczęcia </w:t>
            </w:r>
          </w:p>
        </w:tc>
        <w:tc>
          <w:tcPr>
            <w:tcW w:w="6931" w:type="dxa"/>
            <w:tcBorders>
              <w:top w:val="nil"/>
              <w:left w:val="nil"/>
              <w:bottom w:val="single" w:sz="8" w:space="0" w:color="auto"/>
              <w:right w:val="single" w:sz="8" w:space="0" w:color="auto"/>
            </w:tcBorders>
            <w:tcMar>
              <w:top w:w="0" w:type="dxa"/>
              <w:left w:w="108" w:type="dxa"/>
              <w:bottom w:w="0" w:type="dxa"/>
              <w:right w:w="108" w:type="dxa"/>
            </w:tcMar>
            <w:hideMark/>
          </w:tcPr>
          <w:p w14:paraId="146023E7"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5288E513" w14:textId="77777777" w:rsidTr="00A87279">
        <w:trPr>
          <w:trHeight w:val="60"/>
        </w:trPr>
        <w:tc>
          <w:tcPr>
            <w:tcW w:w="2698"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80F3795"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Data wydania decyzji o pozwoleniu na użytkowanie</w:t>
            </w:r>
          </w:p>
        </w:tc>
        <w:tc>
          <w:tcPr>
            <w:tcW w:w="6931" w:type="dxa"/>
            <w:tcBorders>
              <w:top w:val="nil"/>
              <w:left w:val="nil"/>
              <w:bottom w:val="single" w:sz="8" w:space="0" w:color="auto"/>
              <w:right w:val="single" w:sz="8" w:space="0" w:color="auto"/>
            </w:tcBorders>
            <w:tcMar>
              <w:top w:w="0" w:type="dxa"/>
              <w:left w:w="108" w:type="dxa"/>
              <w:bottom w:w="0" w:type="dxa"/>
              <w:right w:w="108" w:type="dxa"/>
            </w:tcMar>
            <w:hideMark/>
          </w:tcPr>
          <w:p w14:paraId="1AD40322"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bl>
    <w:p w14:paraId="68C8ECCE"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 </w:t>
      </w:r>
    </w:p>
    <w:tbl>
      <w:tblPr>
        <w:tblW w:w="9629" w:type="dxa"/>
        <w:tblCellMar>
          <w:left w:w="0" w:type="dxa"/>
          <w:right w:w="0" w:type="dxa"/>
        </w:tblCellMar>
        <w:tblLook w:val="04A0" w:firstRow="1" w:lastRow="0" w:firstColumn="1" w:lastColumn="0" w:noHBand="0" w:noVBand="1"/>
      </w:tblPr>
      <w:tblGrid>
        <w:gridCol w:w="2808"/>
        <w:gridCol w:w="6821"/>
      </w:tblGrid>
      <w:tr w:rsidR="001B2EF6" w:rsidRPr="009C1781" w14:paraId="00B20700" w14:textId="77777777" w:rsidTr="00E06B7E">
        <w:tc>
          <w:tcPr>
            <w:tcW w:w="2808"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7F31920B"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Czy przeciwko deweloperowi prowadzono lub prowadzi się postępowania egzekucyjne na kwotę powyżej 100 000 zł</w:t>
            </w:r>
          </w:p>
        </w:tc>
        <w:tc>
          <w:tcPr>
            <w:tcW w:w="68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CAFD3" w14:textId="208A057A"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b/>
                <w:bCs/>
                <w:sz w:val="20"/>
                <w:szCs w:val="20"/>
                <w:lang w:eastAsia="pl-PL"/>
              </w:rPr>
              <w:t> </w:t>
            </w:r>
            <w:r w:rsidR="00480189" w:rsidRPr="00485EBB">
              <w:rPr>
                <w:rFonts w:ascii="Times New Roman" w:eastAsia="Times New Roman" w:hAnsi="Times New Roman" w:cs="Times New Roman"/>
                <w:sz w:val="20"/>
                <w:szCs w:val="20"/>
                <w:lang w:eastAsia="pl-PL"/>
              </w:rPr>
              <w:t>NIE</w:t>
            </w:r>
          </w:p>
        </w:tc>
      </w:tr>
    </w:tbl>
    <w:p w14:paraId="049CC75E" w14:textId="77777777" w:rsidR="001B2EF6" w:rsidRPr="009C1781" w:rsidRDefault="001B2EF6" w:rsidP="001B2EF6">
      <w:pPr>
        <w:autoSpaceDN w:val="0"/>
        <w:spacing w:before="100" w:beforeAutospacing="1" w:after="120" w:line="240" w:lineRule="auto"/>
        <w:ind w:left="1077" w:hanging="720"/>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III.             INFORMACJE DOTYCZĄCE NIERUCHOMOŚCI I PRZEDSIĘWZIĘCIA DEWELOPERSKIEGO</w:t>
      </w:r>
    </w:p>
    <w:tbl>
      <w:tblPr>
        <w:tblW w:w="9629" w:type="dxa"/>
        <w:tblCellMar>
          <w:left w:w="0" w:type="dxa"/>
          <w:right w:w="0" w:type="dxa"/>
        </w:tblCellMar>
        <w:tblLook w:val="04A0" w:firstRow="1" w:lastRow="0" w:firstColumn="1" w:lastColumn="0" w:noHBand="0" w:noVBand="1"/>
      </w:tblPr>
      <w:tblGrid>
        <w:gridCol w:w="2657"/>
        <w:gridCol w:w="3003"/>
        <w:gridCol w:w="3969"/>
      </w:tblGrid>
      <w:tr w:rsidR="001B2EF6" w:rsidRPr="009C1781" w14:paraId="0062BB8B" w14:textId="77777777" w:rsidTr="00E06B7E">
        <w:trPr>
          <w:trHeight w:val="588"/>
        </w:trPr>
        <w:tc>
          <w:tcPr>
            <w:tcW w:w="9629" w:type="dxa"/>
            <w:gridSpan w:val="3"/>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D99245D" w14:textId="77777777" w:rsidR="001B2EF6" w:rsidRPr="009C1781"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INFORMACJE DOTYCZĄCE GRUNTU I ZAGOSPODAROWANIA PRZESTRZENNEGO TERENU</w:t>
            </w:r>
          </w:p>
          <w:p w14:paraId="4714B4A3"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sz w:val="20"/>
                <w:szCs w:val="20"/>
                <w:lang w:eastAsia="pl-PL"/>
              </w:rPr>
              <w:t> </w:t>
            </w:r>
          </w:p>
        </w:tc>
      </w:tr>
      <w:tr w:rsidR="001B2EF6" w:rsidRPr="009C1781" w14:paraId="67DC7DDE" w14:textId="77777777" w:rsidTr="00E06B7E">
        <w:trPr>
          <w:trHeight w:val="135"/>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66C16D4E" w14:textId="4F7AECFB" w:rsidR="001B2EF6" w:rsidRPr="009C1781" w:rsidRDefault="001B2EF6" w:rsidP="00012DE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Adres, numer działki ewidencyjnej i numer obrębu ewidencyjnego</w:t>
            </w:r>
            <w:r w:rsidR="00012DE6" w:rsidRPr="009C1781">
              <w:rPr>
                <w:rStyle w:val="Odwoanieprzypisudolnego"/>
                <w:rFonts w:ascii="Times New Roman" w:eastAsia="Times New Roman" w:hAnsi="Times New Roman" w:cs="Times New Roman"/>
                <w:color w:val="000000"/>
                <w:sz w:val="20"/>
                <w:szCs w:val="20"/>
                <w:vertAlign w:val="superscript"/>
                <w:lang w:eastAsia="pl-PL"/>
              </w:rPr>
              <w:footnoteReference w:id="1"/>
            </w:r>
            <w:r w:rsidR="00975B83" w:rsidRPr="009C1781">
              <w:rPr>
                <w:rFonts w:ascii="Times New Roman" w:eastAsia="Times New Roman" w:hAnsi="Times New Roman" w:cs="Times New Roman"/>
                <w:color w:val="000000"/>
                <w:sz w:val="20"/>
                <w:szCs w:val="20"/>
                <w:vertAlign w:val="superscript"/>
                <w:lang w:eastAsia="pl-PL"/>
              </w:rPr>
              <w:t>)</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6C0393" w14:textId="26138243" w:rsidR="00291F9B" w:rsidRPr="00485EBB"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t> </w:t>
            </w:r>
            <w:r w:rsidR="00291F9B" w:rsidRPr="00485EBB">
              <w:rPr>
                <w:rFonts w:ascii="Times New Roman" w:eastAsia="Times New Roman" w:hAnsi="Times New Roman" w:cs="Times New Roman"/>
                <w:sz w:val="20"/>
                <w:szCs w:val="20"/>
                <w:lang w:eastAsia="pl-PL"/>
              </w:rPr>
              <w:t xml:space="preserve">Poznań, </w:t>
            </w:r>
            <w:r w:rsidR="00147D50" w:rsidRPr="00485EBB">
              <w:rPr>
                <w:rFonts w:ascii="Times New Roman" w:eastAsia="Times New Roman" w:hAnsi="Times New Roman" w:cs="Times New Roman"/>
                <w:sz w:val="20"/>
                <w:szCs w:val="20"/>
                <w:lang w:eastAsia="pl-PL"/>
              </w:rPr>
              <w:t xml:space="preserve">ulica: Na Miasteczku nr 3, nr działki: 95, </w:t>
            </w:r>
            <w:r w:rsidR="003F71D7" w:rsidRPr="00485EBB">
              <w:rPr>
                <w:rFonts w:ascii="Times New Roman" w:eastAsia="Times New Roman" w:hAnsi="Times New Roman" w:cs="Times New Roman"/>
                <w:sz w:val="20"/>
                <w:szCs w:val="20"/>
                <w:lang w:eastAsia="pl-PL"/>
              </w:rPr>
              <w:t>obręb geodezyjny</w:t>
            </w:r>
            <w:r w:rsidR="00042885" w:rsidRPr="00485EBB">
              <w:rPr>
                <w:rFonts w:ascii="Times New Roman" w:eastAsia="Times New Roman" w:hAnsi="Times New Roman" w:cs="Times New Roman"/>
                <w:sz w:val="20"/>
                <w:szCs w:val="20"/>
                <w:lang w:eastAsia="pl-PL"/>
              </w:rPr>
              <w:t xml:space="preserve"> 05-</w:t>
            </w:r>
            <w:r w:rsidR="003F71D7" w:rsidRPr="00485EBB">
              <w:rPr>
                <w:rFonts w:ascii="Times New Roman" w:eastAsia="Times New Roman" w:hAnsi="Times New Roman" w:cs="Times New Roman"/>
                <w:sz w:val="20"/>
                <w:szCs w:val="20"/>
                <w:lang w:eastAsia="pl-PL"/>
              </w:rPr>
              <w:t xml:space="preserve"> Rataje</w:t>
            </w:r>
          </w:p>
          <w:p w14:paraId="258B30D1" w14:textId="3CCC9046" w:rsidR="001B2EF6" w:rsidRPr="00485EBB"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p>
        </w:tc>
      </w:tr>
      <w:tr w:rsidR="001B2EF6" w:rsidRPr="009C1781" w14:paraId="25C86587" w14:textId="77777777" w:rsidTr="00E06B7E">
        <w:trPr>
          <w:trHeight w:val="98"/>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0D5937B"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xml:space="preserve">Numer księgi wieczystej </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878363" w14:textId="2023B3AA" w:rsidR="00344040" w:rsidRPr="00485EBB" w:rsidRDefault="00147D50"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t>PO2P/00049525/2</w:t>
            </w:r>
          </w:p>
        </w:tc>
      </w:tr>
      <w:tr w:rsidR="001B2EF6" w:rsidRPr="009C1781" w14:paraId="44B06AA6" w14:textId="77777777" w:rsidTr="00E06B7E">
        <w:trPr>
          <w:trHeight w:val="98"/>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3EBA99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Istniejące obciążenia hipoteczne nieruchomości lub wnioski o wpis w dziale czwartym księgi wieczystej</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D4B1A8" w14:textId="50193E8F" w:rsidR="001B2EF6" w:rsidRPr="00485EBB" w:rsidRDefault="00C66953" w:rsidP="001B2EF6">
            <w:pPr>
              <w:autoSpaceDN w:val="0"/>
              <w:spacing w:before="144" w:after="144" w:line="240" w:lineRule="auto"/>
              <w:jc w:val="both"/>
              <w:rPr>
                <w:rFonts w:ascii="Times New Roman" w:eastAsia="Times New Roman" w:hAnsi="Times New Roman" w:cs="Times New Roman"/>
                <w:sz w:val="20"/>
                <w:szCs w:val="20"/>
                <w:lang w:eastAsia="pl-PL"/>
              </w:rPr>
            </w:pPr>
            <w:r w:rsidRPr="00476321">
              <w:rPr>
                <w:rFonts w:ascii="Times New Roman" w:eastAsia="Times New Roman" w:hAnsi="Times New Roman" w:cs="Times New Roman"/>
                <w:sz w:val="20"/>
                <w:szCs w:val="20"/>
                <w:lang w:eastAsia="pl-PL"/>
              </w:rPr>
              <w:t>Hipoteka umowna do wysokości 10 800 000,00 PLN na rzecz MBANK SPÓŁKA AKCYJNA, WARSZAWA</w:t>
            </w:r>
          </w:p>
        </w:tc>
      </w:tr>
      <w:tr w:rsidR="001B2EF6" w:rsidRPr="009C1781" w14:paraId="6E915498" w14:textId="77777777" w:rsidTr="00275799">
        <w:trPr>
          <w:trHeight w:val="97"/>
        </w:trPr>
        <w:tc>
          <w:tcPr>
            <w:tcW w:w="2657" w:type="dxa"/>
            <w:tcBorders>
              <w:top w:val="nil"/>
              <w:left w:val="single" w:sz="8" w:space="0" w:color="auto"/>
              <w:bottom w:val="single" w:sz="4" w:space="0" w:color="auto"/>
              <w:right w:val="single" w:sz="8" w:space="0" w:color="auto"/>
            </w:tcBorders>
            <w:shd w:val="clear" w:color="auto" w:fill="F3F3F3"/>
            <w:tcMar>
              <w:top w:w="0" w:type="dxa"/>
              <w:left w:w="108" w:type="dxa"/>
              <w:bottom w:w="0" w:type="dxa"/>
              <w:right w:w="108" w:type="dxa"/>
            </w:tcMar>
            <w:hideMark/>
          </w:tcPr>
          <w:p w14:paraId="3EF83C5E" w14:textId="7FFE984C" w:rsidR="001B2EF6" w:rsidRPr="009C1781" w:rsidRDefault="001B2EF6" w:rsidP="00012DE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W przypadku braku księgi wieczystej informacja o powierzchni działki i stanie prawnym nieruchomości</w:t>
            </w:r>
            <w:r w:rsidR="00012DE6" w:rsidRPr="009C1781">
              <w:rPr>
                <w:rStyle w:val="Odwoanieprzypisudolnego"/>
                <w:rFonts w:ascii="Times New Roman" w:eastAsia="Times New Roman" w:hAnsi="Times New Roman" w:cs="Times New Roman"/>
                <w:color w:val="000000"/>
                <w:sz w:val="20"/>
                <w:szCs w:val="20"/>
                <w:vertAlign w:val="superscript"/>
                <w:lang w:eastAsia="pl-PL"/>
              </w:rPr>
              <w:footnoteReference w:id="2"/>
            </w:r>
            <w:r w:rsidR="00975B83" w:rsidRPr="009C1781">
              <w:rPr>
                <w:rFonts w:ascii="Times New Roman" w:eastAsia="Times New Roman" w:hAnsi="Times New Roman" w:cs="Times New Roman"/>
                <w:color w:val="000000"/>
                <w:sz w:val="20"/>
                <w:szCs w:val="20"/>
                <w:vertAlign w:val="superscript"/>
                <w:lang w:eastAsia="pl-PL"/>
              </w:rPr>
              <w:t>)</w:t>
            </w:r>
          </w:p>
        </w:tc>
        <w:tc>
          <w:tcPr>
            <w:tcW w:w="697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5430C8B9" w14:textId="1C22A8F0" w:rsidR="001B2EF6" w:rsidRPr="00485EBB"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t> </w:t>
            </w:r>
            <w:r w:rsidR="00A87279" w:rsidRPr="00485EBB">
              <w:rPr>
                <w:rFonts w:ascii="Times New Roman" w:eastAsia="Times New Roman" w:hAnsi="Times New Roman" w:cs="Times New Roman"/>
                <w:sz w:val="20"/>
                <w:szCs w:val="20"/>
                <w:lang w:eastAsia="pl-PL"/>
              </w:rPr>
              <w:t>Nie dotyczy</w:t>
            </w:r>
          </w:p>
        </w:tc>
      </w:tr>
      <w:tr w:rsidR="001B2EF6" w:rsidRPr="009C1781" w14:paraId="2E7C5875" w14:textId="77777777" w:rsidTr="00275799">
        <w:trPr>
          <w:trHeight w:val="97"/>
        </w:trPr>
        <w:tc>
          <w:tcPr>
            <w:tcW w:w="2657"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hideMark/>
          </w:tcPr>
          <w:p w14:paraId="586740EE" w14:textId="3DE76381" w:rsidR="001B2EF6" w:rsidRPr="009C1781"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xml:space="preserve">Informacje dotyczące obiektów istniejących położonych w sąsiedztwie </w:t>
            </w:r>
            <w:r w:rsidRPr="009C1781">
              <w:rPr>
                <w:rFonts w:ascii="Times New Roman" w:eastAsia="Times New Roman" w:hAnsi="Times New Roman" w:cs="Times New Roman"/>
                <w:color w:val="000000"/>
                <w:sz w:val="20"/>
                <w:szCs w:val="20"/>
                <w:lang w:eastAsia="pl-PL"/>
              </w:rPr>
              <w:lastRenderedPageBreak/>
              <w:t>inwestycji i wpływających na warunki życia</w:t>
            </w:r>
            <w:r w:rsidR="00012DE6" w:rsidRPr="009C1781">
              <w:rPr>
                <w:rStyle w:val="Odwoanieprzypisudolnego"/>
                <w:rFonts w:ascii="Times New Roman" w:eastAsia="Times New Roman" w:hAnsi="Times New Roman" w:cs="Times New Roman"/>
                <w:color w:val="000000"/>
                <w:sz w:val="20"/>
                <w:szCs w:val="20"/>
                <w:vertAlign w:val="superscript"/>
                <w:lang w:eastAsia="pl-PL"/>
              </w:rPr>
              <w:footnoteReference w:id="3"/>
            </w:r>
            <w:r w:rsidR="00975B83" w:rsidRPr="009C1781">
              <w:rPr>
                <w:rFonts w:ascii="Times New Roman" w:eastAsia="Times New Roman" w:hAnsi="Times New Roman" w:cs="Times New Roman"/>
                <w:color w:val="000000"/>
                <w:sz w:val="20"/>
                <w:szCs w:val="20"/>
                <w:vertAlign w:val="superscript"/>
                <w:lang w:eastAsia="pl-PL"/>
              </w:rPr>
              <w:t>)</w:t>
            </w:r>
            <w:r w:rsidRPr="009C1781">
              <w:rPr>
                <w:rFonts w:ascii="Times New Roman" w:eastAsia="Times New Roman" w:hAnsi="Times New Roman" w:cs="Times New Roman"/>
                <w:color w:val="000000"/>
                <w:sz w:val="20"/>
                <w:szCs w:val="20"/>
                <w:lang w:eastAsia="pl-PL"/>
              </w:rPr>
              <w:t xml:space="preserve"> </w:t>
            </w:r>
          </w:p>
          <w:p w14:paraId="0C32D217"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c>
          <w:tcPr>
            <w:tcW w:w="69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7DE6B" w14:textId="448B4AC1" w:rsidR="001B2EF6" w:rsidRPr="00485EBB" w:rsidRDefault="00AB7BD6" w:rsidP="00275799">
            <w:pPr>
              <w:autoSpaceDN w:val="0"/>
              <w:spacing w:before="144" w:after="144" w:line="240" w:lineRule="auto"/>
              <w:jc w:val="both"/>
              <w:rPr>
                <w:rFonts w:ascii="Times New Roman" w:eastAsia="Times New Roman" w:hAnsi="Times New Roman" w:cs="Times New Roman"/>
                <w:sz w:val="20"/>
                <w:szCs w:val="20"/>
                <w:highlight w:val="red"/>
                <w:lang w:eastAsia="pl-PL"/>
              </w:rPr>
            </w:pPr>
            <w:r w:rsidRPr="00485EBB">
              <w:rPr>
                <w:rFonts w:ascii="Times New Roman" w:eastAsia="Times New Roman" w:hAnsi="Times New Roman" w:cs="Times New Roman"/>
                <w:sz w:val="20"/>
                <w:szCs w:val="20"/>
                <w:lang w:eastAsia="pl-PL"/>
              </w:rPr>
              <w:lastRenderedPageBreak/>
              <w:t>B</w:t>
            </w:r>
            <w:r w:rsidR="00CC2570" w:rsidRPr="00485EBB">
              <w:rPr>
                <w:rFonts w:ascii="Times New Roman" w:eastAsia="Times New Roman" w:hAnsi="Times New Roman" w:cs="Times New Roman"/>
                <w:sz w:val="20"/>
                <w:szCs w:val="20"/>
                <w:lang w:eastAsia="pl-PL"/>
              </w:rPr>
              <w:t xml:space="preserve">udownictwo mieszkaniowe wielorodzinne, </w:t>
            </w:r>
            <w:r w:rsidR="00CC2570" w:rsidRPr="00485EBB">
              <w:rPr>
                <w:rFonts w:ascii="Times New Roman" w:hAnsi="Times New Roman" w:cs="Times New Roman"/>
                <w:bCs/>
                <w:sz w:val="20"/>
                <w:szCs w:val="20"/>
              </w:rPr>
              <w:t>zabudowa usługowa</w:t>
            </w:r>
            <w:r w:rsidRPr="00485EBB">
              <w:rPr>
                <w:rFonts w:ascii="Times New Roman" w:hAnsi="Times New Roman" w:cs="Times New Roman"/>
                <w:bCs/>
                <w:sz w:val="20"/>
                <w:szCs w:val="20"/>
              </w:rPr>
              <w:t xml:space="preserve">, </w:t>
            </w:r>
            <w:r w:rsidR="00CC2570" w:rsidRPr="00485EBB">
              <w:rPr>
                <w:rFonts w:ascii="Times New Roman" w:hAnsi="Times New Roman" w:cs="Times New Roman"/>
                <w:bCs/>
                <w:sz w:val="20"/>
                <w:szCs w:val="20"/>
              </w:rPr>
              <w:t>kampus</w:t>
            </w:r>
            <w:r w:rsidRPr="00485EBB">
              <w:rPr>
                <w:rFonts w:ascii="Times New Roman" w:hAnsi="Times New Roman" w:cs="Times New Roman"/>
                <w:bCs/>
                <w:sz w:val="20"/>
                <w:szCs w:val="20"/>
              </w:rPr>
              <w:t xml:space="preserve">, dworzec autobusowy, drogi publiczne. </w:t>
            </w:r>
          </w:p>
        </w:tc>
      </w:tr>
      <w:tr w:rsidR="001B2EF6" w:rsidRPr="009C1781" w14:paraId="5006EBF1" w14:textId="77777777" w:rsidTr="00151CA5">
        <w:trPr>
          <w:trHeight w:val="1506"/>
        </w:trPr>
        <w:tc>
          <w:tcPr>
            <w:tcW w:w="2657" w:type="dxa"/>
            <w:vMerge w:val="restart"/>
            <w:tcBorders>
              <w:top w:val="single" w:sz="4"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735A5313"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Akty planowania przestrzennego i inne akty prawne na terenie objętym przedsięwzięciem deweloperskim lub zadaniem inwestycyjnym</w:t>
            </w:r>
          </w:p>
          <w:p w14:paraId="6B31F73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 </w:t>
            </w:r>
          </w:p>
        </w:tc>
        <w:tc>
          <w:tcPr>
            <w:tcW w:w="30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E4CCDE"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0F6BB2">
              <w:rPr>
                <w:rFonts w:ascii="Times New Roman" w:eastAsia="Times New Roman" w:hAnsi="Times New Roman" w:cs="Times New Roman"/>
                <w:color w:val="000000" w:themeColor="text1"/>
                <w:sz w:val="20"/>
                <w:szCs w:val="20"/>
                <w:lang w:eastAsia="pl-PL"/>
              </w:rPr>
              <w:t>Studium uwarunkowań i kierunków zagospodarowania przestrzennego gminy</w:t>
            </w:r>
          </w:p>
        </w:tc>
        <w:tc>
          <w:tcPr>
            <w:tcW w:w="3969"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C0EDB9" w14:textId="5B70470A" w:rsidR="003871DA" w:rsidRPr="005A58C0" w:rsidRDefault="003871DA" w:rsidP="00B2226D">
            <w:pPr>
              <w:pStyle w:val="Akapitzlist"/>
              <w:ind w:left="174"/>
              <w:jc w:val="both"/>
              <w:rPr>
                <w:b/>
                <w:bCs/>
                <w:sz w:val="18"/>
                <w:szCs w:val="18"/>
              </w:rPr>
            </w:pPr>
            <w:r w:rsidRPr="005A58C0">
              <w:t xml:space="preserve">1.Studium uwarunkowań i kierunków zagospodarowania przestrzennego miasta Poznania - </w:t>
            </w:r>
            <w:r w:rsidRPr="005A58C0">
              <w:rPr>
                <w:rStyle w:val="Pogrubienie"/>
                <w:b w:val="0"/>
                <w:bCs w:val="0"/>
                <w:shd w:val="clear" w:color="auto" w:fill="FFFFFF"/>
              </w:rPr>
              <w:t>Uchwała Nr LXXXVIII/1670/VIII/2023 Rady Miasta Poznania z dnia 11 lipca 2023 r.</w:t>
            </w:r>
          </w:p>
          <w:p w14:paraId="122D4432" w14:textId="2492B89C" w:rsidR="003871DA" w:rsidRPr="005A58C0" w:rsidRDefault="003871DA" w:rsidP="00B2226D">
            <w:pPr>
              <w:autoSpaceDN w:val="0"/>
              <w:spacing w:before="144" w:after="144"/>
              <w:ind w:left="174"/>
              <w:jc w:val="both"/>
              <w:rPr>
                <w:bCs/>
                <w:highlight w:val="red"/>
                <w:lang w:eastAsia="pl-PL"/>
              </w:rPr>
            </w:pPr>
          </w:p>
          <w:p w14:paraId="4A0BD24A" w14:textId="7690B516" w:rsidR="003871DA" w:rsidRPr="005A58C0" w:rsidRDefault="003871DA" w:rsidP="00B2226D">
            <w:pPr>
              <w:pStyle w:val="Akapitzlist"/>
              <w:autoSpaceDN w:val="0"/>
              <w:spacing w:before="144" w:after="144"/>
              <w:ind w:left="174"/>
              <w:jc w:val="both"/>
              <w:rPr>
                <w:bCs/>
                <w:highlight w:val="red"/>
                <w:lang w:eastAsia="pl-PL"/>
              </w:rPr>
            </w:pPr>
            <w:r w:rsidRPr="005A58C0">
              <w:rPr>
                <w:bCs/>
              </w:rPr>
              <w:t>2.</w:t>
            </w:r>
            <w:r w:rsidR="00583D68" w:rsidRPr="005A58C0">
              <w:rPr>
                <w:bCs/>
              </w:rPr>
              <w:t xml:space="preserve">Miejscowy </w:t>
            </w:r>
            <w:bookmarkStart w:id="0" w:name="_Hlk148949041"/>
            <w:r w:rsidR="00583D68" w:rsidRPr="005A58C0">
              <w:rPr>
                <w:bCs/>
              </w:rPr>
              <w:t xml:space="preserve">plan zagospodarowania przestrzennego - </w:t>
            </w:r>
            <w:r w:rsidR="00264C20" w:rsidRPr="005A58C0">
              <w:rPr>
                <w:bCs/>
              </w:rPr>
              <w:t>Uchwała nr XX</w:t>
            </w:r>
            <w:r w:rsidR="00793D55" w:rsidRPr="005A58C0">
              <w:rPr>
                <w:bCs/>
              </w:rPr>
              <w:t>IV</w:t>
            </w:r>
            <w:r w:rsidR="00264C20" w:rsidRPr="005A58C0">
              <w:rPr>
                <w:bCs/>
              </w:rPr>
              <w:t>/</w:t>
            </w:r>
            <w:r w:rsidR="00793D55" w:rsidRPr="005A58C0">
              <w:rPr>
                <w:bCs/>
              </w:rPr>
              <w:t>216/V</w:t>
            </w:r>
            <w:r w:rsidR="00264C20" w:rsidRPr="005A58C0">
              <w:rPr>
                <w:bCs/>
              </w:rPr>
              <w:t>/200</w:t>
            </w:r>
            <w:r w:rsidR="00793D55" w:rsidRPr="005A58C0">
              <w:rPr>
                <w:bCs/>
              </w:rPr>
              <w:t>7</w:t>
            </w:r>
            <w:r w:rsidR="00264C20" w:rsidRPr="005A58C0">
              <w:rPr>
                <w:bCs/>
              </w:rPr>
              <w:t xml:space="preserve"> Rady M</w:t>
            </w:r>
            <w:r w:rsidR="00793D55" w:rsidRPr="005A58C0">
              <w:rPr>
                <w:bCs/>
              </w:rPr>
              <w:t>iasta</w:t>
            </w:r>
            <w:r w:rsidR="00264C20" w:rsidRPr="005A58C0">
              <w:rPr>
                <w:bCs/>
              </w:rPr>
              <w:t xml:space="preserve"> </w:t>
            </w:r>
            <w:r w:rsidR="00793D55" w:rsidRPr="005A58C0">
              <w:rPr>
                <w:bCs/>
              </w:rPr>
              <w:t>Poznania</w:t>
            </w:r>
            <w:r w:rsidR="00264C20" w:rsidRPr="005A58C0">
              <w:rPr>
                <w:bCs/>
              </w:rPr>
              <w:t xml:space="preserve"> z dnia </w:t>
            </w:r>
            <w:r w:rsidR="00793D55" w:rsidRPr="005A58C0">
              <w:rPr>
                <w:bCs/>
              </w:rPr>
              <w:t>23</w:t>
            </w:r>
            <w:r w:rsidR="00264C20" w:rsidRPr="005A58C0">
              <w:rPr>
                <w:bCs/>
              </w:rPr>
              <w:t xml:space="preserve"> października 200</w:t>
            </w:r>
            <w:r w:rsidR="00793D55" w:rsidRPr="005A58C0">
              <w:rPr>
                <w:bCs/>
              </w:rPr>
              <w:t>7</w:t>
            </w:r>
            <w:r w:rsidR="00264C20" w:rsidRPr="005A58C0">
              <w:rPr>
                <w:bCs/>
              </w:rPr>
              <w:t xml:space="preserve"> r. </w:t>
            </w:r>
            <w:r w:rsidR="006018A7" w:rsidRPr="005A58C0">
              <w:rPr>
                <w:bCs/>
              </w:rPr>
              <w:t>(Dz. Urz. Woj. Wlkp. nr 191, poz. 4257)</w:t>
            </w:r>
            <w:bookmarkEnd w:id="0"/>
          </w:p>
          <w:p w14:paraId="42945829" w14:textId="1850D576" w:rsidR="003871DA" w:rsidRPr="005A58C0" w:rsidRDefault="003871DA" w:rsidP="003871DA">
            <w:pPr>
              <w:pStyle w:val="Akapitzlist"/>
              <w:autoSpaceDN w:val="0"/>
              <w:spacing w:before="144" w:after="144"/>
              <w:jc w:val="both"/>
              <w:rPr>
                <w:bCs/>
                <w:highlight w:val="red"/>
                <w:lang w:eastAsia="pl-PL"/>
              </w:rPr>
            </w:pPr>
          </w:p>
        </w:tc>
      </w:tr>
      <w:tr w:rsidR="001B2EF6" w:rsidRPr="009C1781" w14:paraId="5E503D0C" w14:textId="77777777" w:rsidTr="00151CA5">
        <w:trPr>
          <w:trHeight w:val="317"/>
        </w:trPr>
        <w:tc>
          <w:tcPr>
            <w:tcW w:w="0" w:type="auto"/>
            <w:vMerge/>
            <w:tcBorders>
              <w:top w:val="nil"/>
              <w:left w:val="single" w:sz="8" w:space="0" w:color="auto"/>
              <w:bottom w:val="single" w:sz="8" w:space="0" w:color="auto"/>
              <w:right w:val="single" w:sz="8" w:space="0" w:color="auto"/>
            </w:tcBorders>
            <w:vAlign w:val="center"/>
            <w:hideMark/>
          </w:tcPr>
          <w:p w14:paraId="34966E98"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A1D823B" w14:textId="77777777" w:rsidR="001B2EF6" w:rsidRPr="009C1781"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Miejscowy plan zagospodarowania przestrzennego</w:t>
            </w:r>
          </w:p>
        </w:tc>
        <w:tc>
          <w:tcPr>
            <w:tcW w:w="3969" w:type="dxa"/>
            <w:vMerge/>
            <w:tcBorders>
              <w:top w:val="nil"/>
              <w:left w:val="nil"/>
              <w:bottom w:val="single" w:sz="8" w:space="0" w:color="auto"/>
              <w:right w:val="single" w:sz="8" w:space="0" w:color="auto"/>
            </w:tcBorders>
            <w:vAlign w:val="center"/>
            <w:hideMark/>
          </w:tcPr>
          <w:p w14:paraId="2919D013" w14:textId="77777777" w:rsidR="001B2EF6" w:rsidRPr="005A58C0" w:rsidRDefault="001B2EF6" w:rsidP="001B2EF6">
            <w:pPr>
              <w:spacing w:after="0" w:line="240" w:lineRule="auto"/>
              <w:rPr>
                <w:rFonts w:ascii="Times New Roman" w:eastAsia="Times New Roman" w:hAnsi="Times New Roman" w:cs="Times New Roman"/>
                <w:sz w:val="20"/>
                <w:szCs w:val="20"/>
                <w:highlight w:val="red"/>
                <w:lang w:eastAsia="pl-PL"/>
              </w:rPr>
            </w:pPr>
          </w:p>
        </w:tc>
      </w:tr>
      <w:tr w:rsidR="001B2EF6" w:rsidRPr="009C1781" w14:paraId="79B54DC5" w14:textId="77777777" w:rsidTr="00151CA5">
        <w:trPr>
          <w:trHeight w:val="317"/>
        </w:trPr>
        <w:tc>
          <w:tcPr>
            <w:tcW w:w="0" w:type="auto"/>
            <w:vMerge/>
            <w:tcBorders>
              <w:top w:val="nil"/>
              <w:left w:val="single" w:sz="8" w:space="0" w:color="auto"/>
              <w:bottom w:val="single" w:sz="8" w:space="0" w:color="auto"/>
              <w:right w:val="single" w:sz="8" w:space="0" w:color="auto"/>
            </w:tcBorders>
            <w:vAlign w:val="center"/>
            <w:hideMark/>
          </w:tcPr>
          <w:p w14:paraId="4742CE86"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68F9CA5C"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Miejscowy plan rewitalizacji</w:t>
            </w:r>
          </w:p>
        </w:tc>
        <w:tc>
          <w:tcPr>
            <w:tcW w:w="3969" w:type="dxa"/>
            <w:vMerge/>
            <w:tcBorders>
              <w:top w:val="nil"/>
              <w:left w:val="nil"/>
              <w:bottom w:val="single" w:sz="8" w:space="0" w:color="auto"/>
              <w:right w:val="single" w:sz="8" w:space="0" w:color="auto"/>
            </w:tcBorders>
            <w:vAlign w:val="center"/>
            <w:hideMark/>
          </w:tcPr>
          <w:p w14:paraId="51D529E6" w14:textId="77777777" w:rsidR="001B2EF6" w:rsidRPr="005A58C0" w:rsidRDefault="001B2EF6" w:rsidP="001B2EF6">
            <w:pPr>
              <w:spacing w:after="0" w:line="240" w:lineRule="auto"/>
              <w:rPr>
                <w:rFonts w:ascii="Times New Roman" w:eastAsia="Times New Roman" w:hAnsi="Times New Roman" w:cs="Times New Roman"/>
                <w:sz w:val="20"/>
                <w:szCs w:val="20"/>
                <w:highlight w:val="red"/>
                <w:lang w:eastAsia="pl-PL"/>
              </w:rPr>
            </w:pPr>
          </w:p>
        </w:tc>
      </w:tr>
      <w:tr w:rsidR="001B2EF6" w:rsidRPr="009C1781" w14:paraId="4DDBA910" w14:textId="77777777" w:rsidTr="00151CA5">
        <w:trPr>
          <w:trHeight w:val="317"/>
        </w:trPr>
        <w:tc>
          <w:tcPr>
            <w:tcW w:w="0" w:type="auto"/>
            <w:vMerge/>
            <w:tcBorders>
              <w:top w:val="nil"/>
              <w:left w:val="single" w:sz="8" w:space="0" w:color="auto"/>
              <w:bottom w:val="single" w:sz="8" w:space="0" w:color="auto"/>
              <w:right w:val="single" w:sz="8" w:space="0" w:color="auto"/>
            </w:tcBorders>
            <w:vAlign w:val="center"/>
            <w:hideMark/>
          </w:tcPr>
          <w:p w14:paraId="3B756A04"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270E137"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xml:space="preserve">Miejscowy plan odbudowy </w:t>
            </w:r>
          </w:p>
        </w:tc>
        <w:tc>
          <w:tcPr>
            <w:tcW w:w="3969" w:type="dxa"/>
            <w:vMerge/>
            <w:tcBorders>
              <w:top w:val="nil"/>
              <w:left w:val="nil"/>
              <w:bottom w:val="single" w:sz="8" w:space="0" w:color="auto"/>
              <w:right w:val="single" w:sz="8" w:space="0" w:color="auto"/>
            </w:tcBorders>
            <w:vAlign w:val="center"/>
            <w:hideMark/>
          </w:tcPr>
          <w:p w14:paraId="5F7CB293" w14:textId="77777777" w:rsidR="001B2EF6" w:rsidRPr="005A58C0" w:rsidRDefault="001B2EF6" w:rsidP="001B2EF6">
            <w:pPr>
              <w:spacing w:after="0" w:line="240" w:lineRule="auto"/>
              <w:rPr>
                <w:rFonts w:ascii="Times New Roman" w:eastAsia="Times New Roman" w:hAnsi="Times New Roman" w:cs="Times New Roman"/>
                <w:sz w:val="20"/>
                <w:szCs w:val="20"/>
                <w:highlight w:val="red"/>
                <w:lang w:eastAsia="pl-PL"/>
              </w:rPr>
            </w:pPr>
          </w:p>
        </w:tc>
      </w:tr>
      <w:tr w:rsidR="001B2EF6" w:rsidRPr="009C1781" w14:paraId="2A68A30C" w14:textId="77777777" w:rsidTr="00151CA5">
        <w:trPr>
          <w:trHeight w:val="317"/>
        </w:trPr>
        <w:tc>
          <w:tcPr>
            <w:tcW w:w="0" w:type="auto"/>
            <w:vMerge/>
            <w:tcBorders>
              <w:top w:val="nil"/>
              <w:left w:val="single" w:sz="8" w:space="0" w:color="auto"/>
              <w:bottom w:val="single" w:sz="8" w:space="0" w:color="auto"/>
              <w:right w:val="single" w:sz="8" w:space="0" w:color="auto"/>
            </w:tcBorders>
            <w:vAlign w:val="center"/>
            <w:hideMark/>
          </w:tcPr>
          <w:p w14:paraId="7EF1A7B8"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17BC470A" w14:textId="293279E3" w:rsidR="001B2EF6" w:rsidRPr="009C1781" w:rsidRDefault="001B2EF6" w:rsidP="00012DE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Inne</w:t>
            </w:r>
            <w:r w:rsidR="00012DE6" w:rsidRPr="009C1781">
              <w:rPr>
                <w:rStyle w:val="Odwoanieprzypisudolnego"/>
                <w:rFonts w:ascii="Times New Roman" w:eastAsia="Times New Roman" w:hAnsi="Times New Roman" w:cs="Times New Roman"/>
                <w:sz w:val="20"/>
                <w:szCs w:val="20"/>
                <w:vertAlign w:val="superscript"/>
                <w:lang w:eastAsia="pl-PL"/>
              </w:rPr>
              <w:footnoteReference w:id="4"/>
            </w:r>
            <w:r w:rsidR="00975B83" w:rsidRPr="009C1781">
              <w:rPr>
                <w:rFonts w:ascii="Times New Roman" w:eastAsia="Times New Roman" w:hAnsi="Times New Roman" w:cs="Times New Roman"/>
                <w:sz w:val="20"/>
                <w:szCs w:val="20"/>
                <w:vertAlign w:val="superscript"/>
                <w:lang w:eastAsia="pl-PL"/>
              </w:rPr>
              <w:t>)</w:t>
            </w:r>
          </w:p>
        </w:tc>
        <w:tc>
          <w:tcPr>
            <w:tcW w:w="3969" w:type="dxa"/>
            <w:vMerge/>
            <w:tcBorders>
              <w:top w:val="nil"/>
              <w:left w:val="nil"/>
              <w:bottom w:val="single" w:sz="8" w:space="0" w:color="auto"/>
              <w:right w:val="single" w:sz="8" w:space="0" w:color="auto"/>
            </w:tcBorders>
            <w:vAlign w:val="center"/>
            <w:hideMark/>
          </w:tcPr>
          <w:p w14:paraId="2CFE1497" w14:textId="77777777" w:rsidR="001B2EF6" w:rsidRPr="005A58C0" w:rsidRDefault="001B2EF6" w:rsidP="001B2EF6">
            <w:pPr>
              <w:spacing w:after="0" w:line="240" w:lineRule="auto"/>
              <w:rPr>
                <w:rFonts w:ascii="Times New Roman" w:eastAsia="Times New Roman" w:hAnsi="Times New Roman" w:cs="Times New Roman"/>
                <w:sz w:val="20"/>
                <w:szCs w:val="20"/>
                <w:highlight w:val="red"/>
                <w:lang w:eastAsia="pl-PL"/>
              </w:rPr>
            </w:pPr>
          </w:p>
        </w:tc>
      </w:tr>
      <w:tr w:rsidR="001B2EF6" w:rsidRPr="009C1781" w14:paraId="7FF4C750" w14:textId="77777777" w:rsidTr="00151CA5">
        <w:trPr>
          <w:trHeight w:val="60"/>
        </w:trPr>
        <w:tc>
          <w:tcPr>
            <w:tcW w:w="2657" w:type="dxa"/>
            <w:vMerge w:val="restart"/>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0B43D41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bookmarkStart w:id="1" w:name="_Hlk148949097"/>
            <w:bookmarkStart w:id="2" w:name="_Hlk148949181"/>
            <w:r w:rsidRPr="009C1781">
              <w:rPr>
                <w:rFonts w:ascii="Times New Roman" w:eastAsia="Times New Roman" w:hAnsi="Times New Roman" w:cs="Times New Roman"/>
                <w:color w:val="000000"/>
                <w:sz w:val="20"/>
                <w:szCs w:val="20"/>
                <w:lang w:eastAsia="pl-PL"/>
              </w:rPr>
              <w:t>Ustalenia obowiązującego miejscowego planu zagospodarowania przestrzennego</w:t>
            </w:r>
            <w:bookmarkEnd w:id="1"/>
            <w:r w:rsidRPr="009C1781">
              <w:rPr>
                <w:rFonts w:ascii="Times New Roman" w:eastAsia="Times New Roman" w:hAnsi="Times New Roman" w:cs="Times New Roman"/>
                <w:color w:val="000000"/>
                <w:sz w:val="20"/>
                <w:szCs w:val="20"/>
                <w:lang w:eastAsia="pl-PL"/>
              </w:rPr>
              <w:t xml:space="preserve"> </w:t>
            </w:r>
            <w:bookmarkStart w:id="3" w:name="_Hlk148949688"/>
            <w:r w:rsidRPr="009C1781">
              <w:rPr>
                <w:rFonts w:ascii="Times New Roman" w:eastAsia="Times New Roman" w:hAnsi="Times New Roman" w:cs="Times New Roman"/>
                <w:color w:val="000000"/>
                <w:sz w:val="20"/>
                <w:szCs w:val="20"/>
                <w:lang w:eastAsia="pl-PL"/>
              </w:rPr>
              <w:t xml:space="preserve">dla terenu objętego przedsięwzięciem deweloperskim lub zadaniem inwestycyjnym </w:t>
            </w:r>
          </w:p>
          <w:bookmarkEnd w:id="3"/>
          <w:p w14:paraId="442B0EFA"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42EA6A42"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highlight w:val="red"/>
                <w:lang w:eastAsia="pl-PL"/>
              </w:rPr>
            </w:pPr>
            <w:r w:rsidRPr="009C1781">
              <w:rPr>
                <w:rFonts w:ascii="Times New Roman" w:eastAsia="Times New Roman" w:hAnsi="Times New Roman" w:cs="Times New Roman"/>
                <w:sz w:val="20"/>
                <w:szCs w:val="20"/>
                <w:lang w:eastAsia="pl-PL"/>
              </w:rPr>
              <w:t>Przeznaczenie terenu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5FB2CDC" w14:textId="5BEEA286" w:rsidR="001B2EF6" w:rsidRPr="005A58C0" w:rsidRDefault="00D26FCE" w:rsidP="001B2EF6">
            <w:pPr>
              <w:autoSpaceDN w:val="0"/>
              <w:spacing w:before="144" w:after="144" w:line="240" w:lineRule="auto"/>
              <w:jc w:val="both"/>
              <w:rPr>
                <w:rFonts w:ascii="Times New Roman" w:eastAsia="Times New Roman" w:hAnsi="Times New Roman" w:cs="Times New Roman"/>
                <w:bCs/>
                <w:sz w:val="20"/>
                <w:szCs w:val="20"/>
                <w:highlight w:val="red"/>
                <w:lang w:eastAsia="pl-PL"/>
              </w:rPr>
            </w:pPr>
            <w:r w:rsidRPr="005A58C0">
              <w:rPr>
                <w:rFonts w:ascii="Times New Roman" w:hAnsi="Times New Roman" w:cs="Times New Roman"/>
                <w:bCs/>
                <w:sz w:val="20"/>
                <w:szCs w:val="20"/>
              </w:rPr>
              <w:t xml:space="preserve">Tereny zabudowy mieszkaniowej </w:t>
            </w:r>
            <w:r w:rsidR="006018A7" w:rsidRPr="005A58C0">
              <w:rPr>
                <w:rFonts w:ascii="Times New Roman" w:hAnsi="Times New Roman" w:cs="Times New Roman"/>
                <w:bCs/>
                <w:sz w:val="20"/>
                <w:szCs w:val="20"/>
              </w:rPr>
              <w:t>wielorodzinnej</w:t>
            </w:r>
          </w:p>
        </w:tc>
      </w:tr>
      <w:tr w:rsidR="001B2EF6" w:rsidRPr="009C1781" w14:paraId="3DD44609"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6C8F4EA2"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50C87F62"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Maksymalna i minimalna intensywność zabudowy</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6CBA70C" w14:textId="24FE4229" w:rsidR="001B2EF6" w:rsidRPr="005A58C0" w:rsidRDefault="0024008C"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Nieprzekraczalna powierzchnia zabudowy do 50% powierzchni działki. </w:t>
            </w:r>
          </w:p>
        </w:tc>
      </w:tr>
      <w:tr w:rsidR="001B2EF6" w:rsidRPr="009C1781" w14:paraId="3398C45B"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138F9679"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68C5336"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Maksymalna wysokość zabudowy</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060FB62" w14:textId="19F08923" w:rsidR="001B2EF6" w:rsidRPr="005A58C0" w:rsidRDefault="0024008C"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Wysokość zabudowy maks. 11 m do górnej krawędzi elewacji, jej gzymsu lub attyki w przypadku dachów płaskich lub 15 m do kalenicy.</w:t>
            </w:r>
          </w:p>
        </w:tc>
      </w:tr>
      <w:tr w:rsidR="001B2EF6" w:rsidRPr="009C1781" w14:paraId="2EBE1DA0"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06B1A42A"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67F38F36"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Minimalny udział procentowy powierzchni biologicznie czynnej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5C9EE0D" w14:textId="4C4619C5"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D230C9" w:rsidRPr="005A58C0">
              <w:rPr>
                <w:rFonts w:ascii="Times New Roman" w:eastAsia="Times New Roman" w:hAnsi="Times New Roman" w:cs="Times New Roman"/>
                <w:sz w:val="20"/>
                <w:szCs w:val="20"/>
                <w:lang w:eastAsia="pl-PL"/>
              </w:rPr>
              <w:t>30%</w:t>
            </w:r>
          </w:p>
        </w:tc>
      </w:tr>
      <w:tr w:rsidR="001B2EF6" w:rsidRPr="009C1781" w14:paraId="2CB1D559"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4E833FBE"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1C3133D8"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Minimalna liczba miejsc do parkowania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69E9473" w14:textId="50495C17" w:rsidR="001B2EF6" w:rsidRPr="005A58C0" w:rsidRDefault="006A6AA2"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220 miejsc parkingowych na 1000 mieszkańców dla zabudowy wielorodzinnej</w:t>
            </w:r>
          </w:p>
        </w:tc>
      </w:tr>
      <w:tr w:rsidR="001B2EF6" w:rsidRPr="009C1781" w14:paraId="050596A9"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3D527B71"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0567C2A"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Warunki ochrony środowiska i zdrowia ludzi, przyrody i krajobrazu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46B6480" w14:textId="77777777" w:rsidR="00D26FCE" w:rsidRPr="005A58C0" w:rsidRDefault="006A6AA2" w:rsidP="00A76F16">
            <w:pPr>
              <w:autoSpaceDN w:val="0"/>
              <w:spacing w:before="144" w:after="144" w:line="240" w:lineRule="auto"/>
              <w:jc w:val="both"/>
              <w:rPr>
                <w:rFonts w:ascii="Times New Roman" w:hAnsi="Times New Roman"/>
                <w:sz w:val="18"/>
                <w:szCs w:val="18"/>
              </w:rPr>
            </w:pPr>
            <w:r w:rsidRPr="005A58C0">
              <w:rPr>
                <w:rFonts w:ascii="Times New Roman" w:hAnsi="Times New Roman"/>
                <w:sz w:val="18"/>
                <w:szCs w:val="18"/>
              </w:rPr>
              <w:t>W zakresie zasad ochrony środowiska, przyrody i krajobrazu kulturowego ustala się:</w:t>
            </w:r>
          </w:p>
          <w:p w14:paraId="3F7C9807" w14:textId="77777777" w:rsidR="006A6AA2" w:rsidRPr="005A58C0" w:rsidRDefault="006A6AA2" w:rsidP="006A6AA2">
            <w:pPr>
              <w:pStyle w:val="Akapitzlist"/>
              <w:numPr>
                <w:ilvl w:val="0"/>
                <w:numId w:val="12"/>
              </w:numPr>
              <w:autoSpaceDN w:val="0"/>
              <w:spacing w:before="144" w:after="144"/>
              <w:jc w:val="both"/>
              <w:rPr>
                <w:sz w:val="18"/>
                <w:szCs w:val="18"/>
                <w:lang w:eastAsia="pl-PL"/>
              </w:rPr>
            </w:pPr>
            <w:r w:rsidRPr="005A58C0">
              <w:rPr>
                <w:sz w:val="18"/>
                <w:szCs w:val="18"/>
              </w:rPr>
              <w:t xml:space="preserve">usuwanie odpadów zgodnie z planem gospodarki odpadami dla miasta Poznania </w:t>
            </w:r>
            <w:r w:rsidRPr="005A58C0">
              <w:rPr>
                <w:sz w:val="18"/>
                <w:szCs w:val="18"/>
              </w:rPr>
              <w:br/>
              <w:t>i z przepisami odrębnymi;</w:t>
            </w:r>
          </w:p>
          <w:p w14:paraId="6AE69134" w14:textId="77777777" w:rsidR="006A6AA2" w:rsidRPr="005A58C0" w:rsidRDefault="006A6AA2" w:rsidP="006A6AA2">
            <w:pPr>
              <w:pStyle w:val="Akapitzlist"/>
              <w:numPr>
                <w:ilvl w:val="0"/>
                <w:numId w:val="12"/>
              </w:numPr>
              <w:autoSpaceDN w:val="0"/>
              <w:spacing w:before="144" w:after="144"/>
              <w:jc w:val="both"/>
              <w:rPr>
                <w:sz w:val="18"/>
                <w:szCs w:val="18"/>
                <w:lang w:eastAsia="pl-PL"/>
              </w:rPr>
            </w:pPr>
            <w:r w:rsidRPr="005A58C0">
              <w:rPr>
                <w:sz w:val="18"/>
                <w:szCs w:val="18"/>
              </w:rPr>
              <w:lastRenderedPageBreak/>
              <w:t>dopuszczenie realizacji kondygnacji podziemnych, których budowa nie doprowadzi do zanieczyszczenia środowiska gruntowo-wodnego oraz destabilizacji stosunków wodnych niekorzystnie oddziałującej na stateczność gruntów;</w:t>
            </w:r>
          </w:p>
          <w:p w14:paraId="2BEAF773" w14:textId="77777777" w:rsidR="006A6AA2" w:rsidRPr="005A58C0" w:rsidRDefault="006A6AA2" w:rsidP="006A6AA2">
            <w:pPr>
              <w:pStyle w:val="Akapitzlist"/>
              <w:numPr>
                <w:ilvl w:val="0"/>
                <w:numId w:val="12"/>
              </w:numPr>
              <w:autoSpaceDN w:val="0"/>
              <w:spacing w:before="144" w:after="144"/>
              <w:jc w:val="both"/>
              <w:rPr>
                <w:sz w:val="18"/>
                <w:szCs w:val="18"/>
                <w:lang w:eastAsia="pl-PL"/>
              </w:rPr>
            </w:pPr>
            <w:r w:rsidRPr="005A58C0">
              <w:rPr>
                <w:sz w:val="18"/>
                <w:szCs w:val="18"/>
              </w:rPr>
              <w:t>stosowanie zasad akustyki budowlanej w budynkach wymagających komfortu akustycznego, zlokalizowanych w strefach ponadnormatywnego oddziaływania hałasu komunikacyjnego;</w:t>
            </w:r>
          </w:p>
          <w:p w14:paraId="37E9BE6D" w14:textId="2532F5A5" w:rsidR="00695DAF" w:rsidRPr="005A58C0" w:rsidRDefault="006A6AA2" w:rsidP="00C06226">
            <w:pPr>
              <w:pStyle w:val="Akapitzlist"/>
              <w:numPr>
                <w:ilvl w:val="0"/>
                <w:numId w:val="12"/>
              </w:numPr>
              <w:autoSpaceDN w:val="0"/>
              <w:spacing w:before="144" w:after="144"/>
              <w:jc w:val="both"/>
              <w:rPr>
                <w:sz w:val="18"/>
                <w:szCs w:val="18"/>
              </w:rPr>
            </w:pPr>
            <w:r w:rsidRPr="005A58C0">
              <w:rPr>
                <w:sz w:val="18"/>
                <w:szCs w:val="18"/>
              </w:rPr>
              <w:t xml:space="preserve">dopuszczenie stosowania indywidualnych systemów grzewczych zgodnie </w:t>
            </w:r>
            <w:r w:rsidRPr="005A58C0">
              <w:rPr>
                <w:sz w:val="18"/>
                <w:szCs w:val="18"/>
              </w:rPr>
              <w:br/>
              <w:t>z przepisami odrębnymi</w:t>
            </w:r>
            <w:r w:rsidR="004D4B96" w:rsidRPr="005A58C0">
              <w:rPr>
                <w:sz w:val="18"/>
                <w:szCs w:val="18"/>
              </w:rPr>
              <w:t>.</w:t>
            </w:r>
            <w:r w:rsidR="00A640A2" w:rsidRPr="005A58C0">
              <w:rPr>
                <w:sz w:val="18"/>
                <w:szCs w:val="18"/>
              </w:rPr>
              <w:t xml:space="preserve"> </w:t>
            </w:r>
          </w:p>
          <w:p w14:paraId="30E61021" w14:textId="6D3EC94F" w:rsidR="004D4B96" w:rsidRPr="005A58C0" w:rsidRDefault="004D4B96" w:rsidP="00695DAF">
            <w:pPr>
              <w:autoSpaceDN w:val="0"/>
              <w:spacing w:before="144" w:after="144"/>
              <w:jc w:val="both"/>
              <w:rPr>
                <w:rFonts w:ascii="Times New Roman" w:hAnsi="Times New Roman" w:cs="Times New Roman"/>
                <w:sz w:val="18"/>
                <w:szCs w:val="18"/>
                <w:lang w:eastAsia="pl-PL"/>
              </w:rPr>
            </w:pPr>
          </w:p>
        </w:tc>
      </w:tr>
      <w:tr w:rsidR="001B2EF6" w:rsidRPr="009C1781" w14:paraId="76C0C650"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42718E9C"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1978DFE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D3148C0" w14:textId="6FDD96C5" w:rsidR="001B2EF6" w:rsidRPr="005A58C0" w:rsidRDefault="00A640A2"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Nie dotyczy</w:t>
            </w:r>
          </w:p>
        </w:tc>
      </w:tr>
      <w:tr w:rsidR="001B2EF6" w:rsidRPr="009C1781" w14:paraId="07FD1E99"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5C84DFB9"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7087B55D"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highlight w:val="red"/>
                <w:lang w:eastAsia="pl-PL"/>
              </w:rPr>
            </w:pPr>
            <w:r w:rsidRPr="009C1781">
              <w:rPr>
                <w:rFonts w:ascii="Times New Roman" w:eastAsia="Times New Roman" w:hAnsi="Times New Roman" w:cs="Times New Roman"/>
                <w:sz w:val="20"/>
                <w:szCs w:val="20"/>
                <w:lang w:eastAsia="pl-PL"/>
              </w:rPr>
              <w:t>Warunki ochrony dziedzictwa kulturowego i zabytków oraz dóbr kultury współczesnej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145A5FA" w14:textId="5DFDCBD1" w:rsidR="001B2EF6" w:rsidRPr="005A58C0" w:rsidRDefault="00A640A2" w:rsidP="001B2EF6">
            <w:pPr>
              <w:autoSpaceDN w:val="0"/>
              <w:spacing w:before="144" w:after="144" w:line="240" w:lineRule="auto"/>
              <w:jc w:val="both"/>
              <w:rPr>
                <w:rFonts w:ascii="Times New Roman" w:eastAsia="Times New Roman" w:hAnsi="Times New Roman" w:cs="Times New Roman"/>
                <w:bCs/>
                <w:sz w:val="20"/>
                <w:szCs w:val="20"/>
                <w:highlight w:val="red"/>
                <w:lang w:eastAsia="pl-PL"/>
              </w:rPr>
            </w:pPr>
            <w:r w:rsidRPr="005A58C0">
              <w:rPr>
                <w:rFonts w:ascii="Times New Roman" w:hAnsi="Times New Roman" w:cs="Times New Roman"/>
                <w:sz w:val="20"/>
                <w:szCs w:val="20"/>
              </w:rPr>
              <w:t>Ustala się w przypadku prowadzenia prac ziemnych przeprowadzenie badań archeologicznych.</w:t>
            </w:r>
          </w:p>
        </w:tc>
      </w:tr>
      <w:tr w:rsidR="001B2EF6" w:rsidRPr="009C1781" w14:paraId="4F182FFB"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148B7E98"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46844ABC"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A80A56A" w14:textId="2ACEA59C" w:rsidR="001B2EF6" w:rsidRPr="005A58C0" w:rsidRDefault="0098759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Nie dotyczy</w:t>
            </w:r>
            <w:r w:rsidR="00A80C97" w:rsidRPr="005A58C0">
              <w:rPr>
                <w:rFonts w:ascii="Times New Roman" w:eastAsia="Times New Roman" w:hAnsi="Times New Roman" w:cs="Times New Roman"/>
                <w:sz w:val="20"/>
                <w:szCs w:val="20"/>
                <w:lang w:eastAsia="pl-PL"/>
              </w:rPr>
              <w:t>.</w:t>
            </w:r>
          </w:p>
          <w:p w14:paraId="5C33ED01" w14:textId="3456BE0F" w:rsidR="004C7602" w:rsidRPr="005A58C0" w:rsidRDefault="004C7602"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hAnsi="Times New Roman" w:cs="Times New Roman"/>
                <w:sz w:val="20"/>
                <w:szCs w:val="20"/>
              </w:rPr>
              <w:t>Teren nie należy do obszaru przestrzeni publicznych</w:t>
            </w:r>
          </w:p>
        </w:tc>
      </w:tr>
      <w:tr w:rsidR="001B2EF6" w:rsidRPr="009C1781" w14:paraId="64A76E45"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6DF58A3F"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7FC57976"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Warunki i szczegółowe zasady obsługi w zakresie komunikacji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A1E0622" w14:textId="77777777" w:rsidR="008C093C" w:rsidRPr="005A58C0" w:rsidRDefault="00C838AE" w:rsidP="001B2EF6">
            <w:pPr>
              <w:autoSpaceDN w:val="0"/>
              <w:spacing w:before="144" w:after="144" w:line="240" w:lineRule="auto"/>
              <w:jc w:val="both"/>
              <w:rPr>
                <w:rFonts w:ascii="Times New Roman" w:hAnsi="Times New Roman" w:cs="Times New Roman"/>
                <w:sz w:val="20"/>
                <w:szCs w:val="20"/>
              </w:rPr>
            </w:pPr>
            <w:r w:rsidRPr="005A58C0">
              <w:rPr>
                <w:rFonts w:ascii="Times New Roman" w:hAnsi="Times New Roman" w:cs="Times New Roman"/>
                <w:sz w:val="20"/>
                <w:szCs w:val="20"/>
              </w:rPr>
              <w:t>Obsługa komunikacyjna z</w:t>
            </w:r>
            <w:r w:rsidR="008C093C" w:rsidRPr="005A58C0">
              <w:rPr>
                <w:rFonts w:ascii="Times New Roman" w:hAnsi="Times New Roman"/>
                <w:sz w:val="20"/>
                <w:szCs w:val="20"/>
              </w:rPr>
              <w:t xml:space="preserve"> przyległych </w:t>
            </w:r>
            <w:r w:rsidRPr="005A58C0">
              <w:rPr>
                <w:rFonts w:ascii="Times New Roman" w:hAnsi="Times New Roman" w:cs="Times New Roman"/>
                <w:sz w:val="20"/>
                <w:szCs w:val="20"/>
              </w:rPr>
              <w:t>dróg publicznych dojazdowych</w:t>
            </w:r>
            <w:r w:rsidR="008C093C" w:rsidRPr="005A58C0">
              <w:rPr>
                <w:rFonts w:ascii="Times New Roman" w:hAnsi="Times New Roman" w:cs="Times New Roman"/>
                <w:sz w:val="20"/>
                <w:szCs w:val="20"/>
              </w:rPr>
              <w:t xml:space="preserve">, </w:t>
            </w:r>
          </w:p>
          <w:p w14:paraId="55D19755" w14:textId="684D88AE" w:rsidR="001B2EF6" w:rsidRPr="005A58C0" w:rsidRDefault="008C093C"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hAnsi="Times New Roman"/>
                <w:sz w:val="20"/>
                <w:szCs w:val="20"/>
              </w:rPr>
              <w:t>dla działek narożnikowych maksymalne odsunięcie od skrzyżowania zjazdów na działki.</w:t>
            </w:r>
            <w:r w:rsidRPr="005A58C0">
              <w:rPr>
                <w:rFonts w:ascii="Times New Roman" w:hAnsi="Times New Roman" w:cs="Times New Roman"/>
                <w:sz w:val="20"/>
                <w:szCs w:val="20"/>
              </w:rPr>
              <w:t xml:space="preserve"> </w:t>
            </w:r>
          </w:p>
        </w:tc>
      </w:tr>
      <w:tr w:rsidR="0040327D" w:rsidRPr="009C1781" w14:paraId="4DE27AF1" w14:textId="77777777" w:rsidTr="00151CA5">
        <w:trPr>
          <w:trHeight w:val="51"/>
        </w:trPr>
        <w:tc>
          <w:tcPr>
            <w:tcW w:w="0" w:type="auto"/>
            <w:vMerge/>
            <w:tcBorders>
              <w:top w:val="nil"/>
              <w:left w:val="single" w:sz="8" w:space="0" w:color="auto"/>
              <w:bottom w:val="single" w:sz="8" w:space="0" w:color="auto"/>
              <w:right w:val="single" w:sz="8" w:space="0" w:color="auto"/>
            </w:tcBorders>
            <w:vAlign w:val="center"/>
            <w:hideMark/>
          </w:tcPr>
          <w:p w14:paraId="063E3778" w14:textId="77777777" w:rsidR="0040327D" w:rsidRPr="009C1781" w:rsidRDefault="0040327D" w:rsidP="0040327D">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1BE2A760" w14:textId="77777777" w:rsidR="0040327D" w:rsidRPr="009C1781" w:rsidRDefault="0040327D" w:rsidP="0040327D">
            <w:pPr>
              <w:autoSpaceDN w:val="0"/>
              <w:spacing w:before="144" w:after="144" w:line="240" w:lineRule="auto"/>
              <w:jc w:val="both"/>
              <w:rPr>
                <w:rFonts w:ascii="Times New Roman" w:eastAsia="Times New Roman" w:hAnsi="Times New Roman" w:cs="Times New Roman"/>
                <w:sz w:val="20"/>
                <w:szCs w:val="20"/>
                <w:highlight w:val="red"/>
                <w:lang w:eastAsia="pl-PL"/>
              </w:rPr>
            </w:pPr>
            <w:r w:rsidRPr="009C1781">
              <w:rPr>
                <w:rFonts w:ascii="Times New Roman" w:eastAsia="Times New Roman" w:hAnsi="Times New Roman" w:cs="Times New Roman"/>
                <w:sz w:val="20"/>
                <w:szCs w:val="20"/>
                <w:lang w:eastAsia="pl-PL"/>
              </w:rPr>
              <w:t>Warunki i szczegółowe zasady obsługi w zakresie infrastruktury technicznej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881F54B" w14:textId="167EAA91" w:rsidR="0040327D" w:rsidRPr="005A58C0" w:rsidRDefault="006E09BA" w:rsidP="006E09BA">
            <w:pPr>
              <w:spacing w:after="0" w:line="240" w:lineRule="auto"/>
              <w:jc w:val="both"/>
              <w:rPr>
                <w:rFonts w:ascii="Times New Roman" w:hAnsi="Times New Roman" w:cs="Times New Roman"/>
                <w:sz w:val="18"/>
                <w:szCs w:val="18"/>
              </w:rPr>
            </w:pPr>
            <w:r w:rsidRPr="005A58C0">
              <w:rPr>
                <w:rFonts w:ascii="Times New Roman" w:hAnsi="Times New Roman" w:cs="Times New Roman"/>
                <w:sz w:val="18"/>
                <w:szCs w:val="18"/>
              </w:rPr>
              <w:t xml:space="preserve">W zakresie zasad modernizacji, rozbudowy i budowy systemów komunikacji </w:t>
            </w:r>
            <w:r w:rsidRPr="005A58C0">
              <w:rPr>
                <w:rFonts w:ascii="Times New Roman" w:hAnsi="Times New Roman" w:cs="Times New Roman"/>
                <w:sz w:val="18"/>
                <w:szCs w:val="18"/>
              </w:rPr>
              <w:br/>
              <w:t>i infrastruktury technicznej ustala się:</w:t>
            </w:r>
          </w:p>
          <w:p w14:paraId="4B88B489" w14:textId="77777777" w:rsidR="006E09BA" w:rsidRPr="005A58C0" w:rsidRDefault="006E09BA" w:rsidP="006E09BA">
            <w:pPr>
              <w:pStyle w:val="Akapitzlist"/>
              <w:numPr>
                <w:ilvl w:val="0"/>
                <w:numId w:val="14"/>
              </w:numPr>
              <w:jc w:val="both"/>
              <w:rPr>
                <w:sz w:val="18"/>
                <w:szCs w:val="18"/>
              </w:rPr>
            </w:pPr>
            <w:r w:rsidRPr="005A58C0">
              <w:rPr>
                <w:sz w:val="18"/>
                <w:szCs w:val="18"/>
              </w:rPr>
              <w:t xml:space="preserve">zapewnienie minimalnej liczby miejsc parkingowych, w tym dla osób niepełnosprawnych w wielkości: </w:t>
            </w:r>
          </w:p>
          <w:p w14:paraId="176DA7DE" w14:textId="768CDA36" w:rsidR="006E09BA" w:rsidRPr="005A58C0" w:rsidRDefault="006E09BA" w:rsidP="006E09BA">
            <w:pPr>
              <w:pStyle w:val="Akapitzlist"/>
              <w:numPr>
                <w:ilvl w:val="0"/>
                <w:numId w:val="15"/>
              </w:numPr>
              <w:jc w:val="both"/>
              <w:rPr>
                <w:sz w:val="18"/>
                <w:szCs w:val="18"/>
              </w:rPr>
            </w:pPr>
            <w:r w:rsidRPr="005A58C0">
              <w:rPr>
                <w:sz w:val="18"/>
                <w:szCs w:val="18"/>
              </w:rPr>
              <w:t>220 miejsc parkingowych na 1000 mieszkańców dla zabudowy wielorodzinnej;</w:t>
            </w:r>
          </w:p>
          <w:p w14:paraId="4A80F258" w14:textId="4FDDF53B" w:rsidR="006E09BA" w:rsidRPr="005A58C0" w:rsidRDefault="006E09BA" w:rsidP="006E09BA">
            <w:pPr>
              <w:pStyle w:val="Akapitzlist"/>
              <w:numPr>
                <w:ilvl w:val="0"/>
                <w:numId w:val="15"/>
              </w:numPr>
              <w:jc w:val="both"/>
              <w:rPr>
                <w:sz w:val="18"/>
                <w:szCs w:val="18"/>
              </w:rPr>
            </w:pPr>
            <w:r w:rsidRPr="005A58C0">
              <w:rPr>
                <w:sz w:val="18"/>
                <w:szCs w:val="18"/>
              </w:rPr>
              <w:t>1 miejsce parkingowe na 1 dom dla zabudowy jednorodzinnej</w:t>
            </w:r>
          </w:p>
          <w:p w14:paraId="20210ED3" w14:textId="28B1FB26" w:rsidR="006E09BA" w:rsidRPr="005A58C0" w:rsidRDefault="006E09BA" w:rsidP="006E09BA">
            <w:pPr>
              <w:pStyle w:val="Akapitzlist"/>
              <w:numPr>
                <w:ilvl w:val="0"/>
                <w:numId w:val="14"/>
              </w:numPr>
              <w:jc w:val="both"/>
              <w:rPr>
                <w:sz w:val="18"/>
                <w:szCs w:val="18"/>
              </w:rPr>
            </w:pPr>
            <w:r w:rsidRPr="005A58C0">
              <w:rPr>
                <w:sz w:val="18"/>
                <w:szCs w:val="18"/>
              </w:rPr>
              <w:t>lokalizowanie miejsc parkingowych na powierzchni terenu w oparciu o przepisy odrębne lub w kondygnacji podziemnej</w:t>
            </w:r>
          </w:p>
          <w:p w14:paraId="387B433E" w14:textId="77857E33" w:rsidR="006E09BA" w:rsidRPr="005A58C0" w:rsidRDefault="006E09BA" w:rsidP="006E09BA">
            <w:pPr>
              <w:pStyle w:val="Akapitzlist"/>
              <w:numPr>
                <w:ilvl w:val="0"/>
                <w:numId w:val="14"/>
              </w:numPr>
              <w:jc w:val="both"/>
              <w:rPr>
                <w:sz w:val="18"/>
                <w:szCs w:val="18"/>
              </w:rPr>
            </w:pPr>
            <w:r w:rsidRPr="005A58C0">
              <w:rPr>
                <w:sz w:val="18"/>
                <w:szCs w:val="18"/>
              </w:rPr>
              <w:t xml:space="preserve">dopuszczenie robót budowlanych w zakresie sieci infrastruktury technicznej, </w:t>
            </w:r>
            <w:r w:rsidRPr="005A58C0">
              <w:rPr>
                <w:sz w:val="18"/>
                <w:szCs w:val="18"/>
              </w:rPr>
              <w:br/>
              <w:t>w tym w szczególności: sieci wodociągowej, kanalizacyjnej, elektroenergetycznej, gazowej, ciepłowniczej i telekomunikacyjnej</w:t>
            </w:r>
          </w:p>
          <w:p w14:paraId="46E80BA0" w14:textId="41F76C6A" w:rsidR="006E09BA" w:rsidRPr="005A58C0" w:rsidRDefault="006E09BA" w:rsidP="006E09BA">
            <w:pPr>
              <w:pStyle w:val="Akapitzlist"/>
              <w:numPr>
                <w:ilvl w:val="0"/>
                <w:numId w:val="14"/>
              </w:numPr>
              <w:jc w:val="both"/>
              <w:rPr>
                <w:sz w:val="18"/>
                <w:szCs w:val="18"/>
              </w:rPr>
            </w:pPr>
            <w:r w:rsidRPr="005A58C0">
              <w:rPr>
                <w:sz w:val="18"/>
                <w:szCs w:val="18"/>
              </w:rPr>
              <w:t>powiązanie sieci infrastruktury technicznej z układem zewnętrznym oraz zapewnienie dostępu do sieci zgodnie z przepisami odrębnymi</w:t>
            </w:r>
          </w:p>
          <w:p w14:paraId="5DCC498E" w14:textId="1A600BCE" w:rsidR="006E09BA" w:rsidRPr="005A58C0" w:rsidRDefault="006E09BA" w:rsidP="006E09BA">
            <w:pPr>
              <w:pStyle w:val="Akapitzlist"/>
              <w:numPr>
                <w:ilvl w:val="0"/>
                <w:numId w:val="14"/>
              </w:numPr>
              <w:jc w:val="both"/>
              <w:rPr>
                <w:sz w:val="18"/>
                <w:szCs w:val="18"/>
              </w:rPr>
            </w:pPr>
            <w:r w:rsidRPr="005A58C0">
              <w:rPr>
                <w:sz w:val="18"/>
                <w:szCs w:val="18"/>
              </w:rPr>
              <w:lastRenderedPageBreak/>
              <w:t xml:space="preserve">dopuszczenie lokalizacji stacji transformatorowych wbudowanych w budynki </w:t>
            </w:r>
            <w:r w:rsidRPr="005A58C0">
              <w:rPr>
                <w:sz w:val="18"/>
                <w:szCs w:val="18"/>
              </w:rPr>
              <w:br/>
              <w:t xml:space="preserve">o innym przeznaczeniu zgodnie z </w:t>
            </w:r>
            <w:proofErr w:type="spellStart"/>
            <w:r w:rsidRPr="005A58C0">
              <w:rPr>
                <w:sz w:val="18"/>
                <w:szCs w:val="18"/>
              </w:rPr>
              <w:t>przepi</w:t>
            </w:r>
            <w:proofErr w:type="spellEnd"/>
            <w:r w:rsidR="00C838AE" w:rsidRPr="005A58C0">
              <w:rPr>
                <w:sz w:val="18"/>
                <w:szCs w:val="18"/>
              </w:rPr>
              <w:t xml:space="preserve"> </w:t>
            </w:r>
            <w:r w:rsidRPr="005A58C0">
              <w:rPr>
                <w:sz w:val="18"/>
                <w:szCs w:val="18"/>
              </w:rPr>
              <w:t>sami odrębnymi oraz utrzymanie stacji wolno stojących</w:t>
            </w:r>
          </w:p>
          <w:p w14:paraId="7E9BAE37" w14:textId="35775EE7" w:rsidR="006E09BA" w:rsidRPr="005A58C0" w:rsidRDefault="006E09BA" w:rsidP="006E09BA">
            <w:pPr>
              <w:pStyle w:val="Akapitzlist"/>
              <w:numPr>
                <w:ilvl w:val="0"/>
                <w:numId w:val="14"/>
              </w:numPr>
              <w:jc w:val="both"/>
              <w:rPr>
                <w:sz w:val="18"/>
                <w:szCs w:val="18"/>
              </w:rPr>
            </w:pPr>
            <w:r w:rsidRPr="005A58C0">
              <w:rPr>
                <w:sz w:val="18"/>
                <w:szCs w:val="18"/>
              </w:rPr>
              <w:t>dopuszczenie lokalizacji na budynkach o wysokości min. 15.0 m stacji bazowych telefonii komórkowej o wysokości do 8.0 m</w:t>
            </w:r>
          </w:p>
          <w:p w14:paraId="61102517" w14:textId="436BC37D" w:rsidR="006E09BA" w:rsidRPr="005A58C0" w:rsidRDefault="006E09BA" w:rsidP="006E09BA">
            <w:pPr>
              <w:pStyle w:val="Akapitzlist"/>
              <w:numPr>
                <w:ilvl w:val="0"/>
                <w:numId w:val="14"/>
              </w:numPr>
              <w:jc w:val="both"/>
              <w:rPr>
                <w:iCs/>
                <w:sz w:val="18"/>
                <w:szCs w:val="18"/>
              </w:rPr>
            </w:pPr>
            <w:r w:rsidRPr="005A58C0">
              <w:rPr>
                <w:iCs/>
                <w:sz w:val="18"/>
                <w:szCs w:val="18"/>
              </w:rPr>
              <w:t>dopuszczenie zagospodarowania wód opadowych w granicach działki budowlanej</w:t>
            </w:r>
          </w:p>
          <w:p w14:paraId="613BCADD" w14:textId="3D3D2309" w:rsidR="0040327D" w:rsidRPr="005A58C0" w:rsidRDefault="0040327D" w:rsidP="00543193">
            <w:pPr>
              <w:spacing w:after="0" w:line="240" w:lineRule="auto"/>
              <w:jc w:val="both"/>
              <w:rPr>
                <w:rFonts w:ascii="Times New Roman" w:hAnsi="Times New Roman" w:cs="Times New Roman"/>
                <w:sz w:val="18"/>
                <w:szCs w:val="18"/>
              </w:rPr>
            </w:pPr>
          </w:p>
        </w:tc>
      </w:tr>
      <w:tr w:rsidR="001B2EF6" w:rsidRPr="009C1781" w14:paraId="72CF5DA6" w14:textId="77777777" w:rsidTr="00151CA5">
        <w:trPr>
          <w:trHeight w:val="288"/>
        </w:trPr>
        <w:tc>
          <w:tcPr>
            <w:tcW w:w="2657" w:type="dxa"/>
            <w:vMerge w:val="restart"/>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3701C1D" w14:textId="172A6241" w:rsidR="001B2EF6" w:rsidRPr="009C1781" w:rsidRDefault="001B2EF6" w:rsidP="007A01D6">
            <w:pPr>
              <w:autoSpaceDN w:val="0"/>
              <w:spacing w:before="144" w:after="144" w:line="240" w:lineRule="auto"/>
              <w:jc w:val="both"/>
              <w:rPr>
                <w:rFonts w:ascii="Times New Roman" w:eastAsia="Times New Roman" w:hAnsi="Times New Roman" w:cs="Times New Roman"/>
                <w:sz w:val="20"/>
                <w:szCs w:val="20"/>
                <w:lang w:eastAsia="pl-PL"/>
              </w:rPr>
            </w:pPr>
            <w:bookmarkStart w:id="4" w:name="_Hlk148949873"/>
            <w:bookmarkEnd w:id="2"/>
            <w:r w:rsidRPr="009C1781">
              <w:rPr>
                <w:rFonts w:ascii="Times New Roman" w:eastAsia="Times New Roman" w:hAnsi="Times New Roman" w:cs="Times New Roman"/>
                <w:color w:val="000000"/>
                <w:sz w:val="20"/>
                <w:szCs w:val="20"/>
                <w:lang w:eastAsia="pl-PL"/>
              </w:rPr>
              <w:lastRenderedPageBreak/>
              <w:t xml:space="preserve">Ustalenia </w:t>
            </w:r>
            <w:bookmarkStart w:id="5" w:name="_Hlk148949809"/>
            <w:r w:rsidRPr="009C1781">
              <w:rPr>
                <w:rFonts w:ascii="Times New Roman" w:eastAsia="Times New Roman" w:hAnsi="Times New Roman" w:cs="Times New Roman"/>
                <w:color w:val="000000"/>
                <w:sz w:val="20"/>
                <w:szCs w:val="20"/>
                <w:lang w:eastAsia="pl-PL"/>
              </w:rPr>
              <w:t>obowiązującego miejscowego planu zagospodarowania przestrzennego dla działek lub ich fragmentów, znajdujących się w odległości do 100 m od granicy terenu objętego przedsięwzięciem deweloperskim lub zadaniem inwestycyjnym</w:t>
            </w:r>
            <w:bookmarkEnd w:id="5"/>
            <w:r w:rsidR="00975B83" w:rsidRPr="009C1781">
              <w:rPr>
                <w:rStyle w:val="Odwoanieprzypisudolnego"/>
                <w:rFonts w:ascii="Times New Roman" w:eastAsia="Times New Roman" w:hAnsi="Times New Roman" w:cs="Times New Roman"/>
                <w:color w:val="000000"/>
                <w:sz w:val="20"/>
                <w:szCs w:val="20"/>
                <w:vertAlign w:val="superscript"/>
                <w:lang w:eastAsia="pl-PL"/>
              </w:rPr>
              <w:footnoteReference w:id="5"/>
            </w:r>
            <w:r w:rsidR="00975B83" w:rsidRPr="009C1781">
              <w:rPr>
                <w:rFonts w:ascii="Times New Roman" w:eastAsia="Times New Roman" w:hAnsi="Times New Roman" w:cs="Times New Roman"/>
                <w:color w:val="000000"/>
                <w:sz w:val="20"/>
                <w:szCs w:val="20"/>
                <w:vertAlign w:val="superscript"/>
                <w:lang w:eastAsia="pl-PL"/>
              </w:rPr>
              <w:t>)</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1EF3370A"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Przeznaczenie terenu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3933E71" w14:textId="50672B4A" w:rsidR="0040327D" w:rsidRPr="005A58C0" w:rsidRDefault="00755E54"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hAnsi="Times New Roman" w:cs="Times New Roman"/>
                <w:bCs/>
                <w:sz w:val="20"/>
                <w:szCs w:val="20"/>
              </w:rPr>
              <w:t xml:space="preserve">Tereny zabudowy mieszkaniowej wielorodzinnej </w:t>
            </w:r>
            <w:r w:rsidR="007E2FF8" w:rsidRPr="005A58C0">
              <w:rPr>
                <w:rFonts w:ascii="Times New Roman" w:hAnsi="Times New Roman" w:cs="Times New Roman"/>
                <w:bCs/>
                <w:sz w:val="20"/>
                <w:szCs w:val="20"/>
              </w:rPr>
              <w:t xml:space="preserve">(3MW, 4MW) </w:t>
            </w:r>
            <w:r w:rsidRPr="005A58C0">
              <w:rPr>
                <w:rFonts w:ascii="Times New Roman" w:hAnsi="Times New Roman" w:cs="Times New Roman"/>
                <w:bCs/>
                <w:sz w:val="20"/>
                <w:szCs w:val="20"/>
              </w:rPr>
              <w:t>oraz tereny dróg publicznych</w:t>
            </w:r>
            <w:r w:rsidR="007E2FF8" w:rsidRPr="005A58C0">
              <w:rPr>
                <w:rFonts w:ascii="Times New Roman" w:hAnsi="Times New Roman" w:cs="Times New Roman"/>
                <w:bCs/>
                <w:sz w:val="20"/>
                <w:szCs w:val="20"/>
              </w:rPr>
              <w:t xml:space="preserve"> (5KDP, 4KDP)</w:t>
            </w:r>
            <w:r w:rsidRPr="005A58C0">
              <w:rPr>
                <w:rFonts w:ascii="Times New Roman" w:hAnsi="Times New Roman" w:cs="Times New Roman"/>
                <w:bCs/>
                <w:sz w:val="20"/>
                <w:szCs w:val="20"/>
              </w:rPr>
              <w:t xml:space="preserve"> </w:t>
            </w:r>
            <w:r w:rsidR="002452A4" w:rsidRPr="005A58C0">
              <w:rPr>
                <w:rFonts w:ascii="Times New Roman" w:hAnsi="Times New Roman" w:cs="Times New Roman"/>
                <w:bCs/>
                <w:sz w:val="20"/>
                <w:szCs w:val="20"/>
              </w:rPr>
              <w:t>oraz tereny pod zabudowę usługową – kampus</w:t>
            </w:r>
            <w:r w:rsidR="007E2FF8" w:rsidRPr="005A58C0">
              <w:rPr>
                <w:rFonts w:ascii="Times New Roman" w:hAnsi="Times New Roman" w:cs="Times New Roman"/>
                <w:bCs/>
                <w:sz w:val="20"/>
                <w:szCs w:val="20"/>
              </w:rPr>
              <w:t xml:space="preserve"> (1U)</w:t>
            </w:r>
            <w:r w:rsidR="00347045" w:rsidRPr="005A58C0">
              <w:rPr>
                <w:rFonts w:ascii="Times New Roman" w:hAnsi="Times New Roman" w:cs="Times New Roman"/>
                <w:bCs/>
                <w:sz w:val="20"/>
                <w:szCs w:val="20"/>
              </w:rPr>
              <w:t xml:space="preserve"> oraz zabudowę usługową na terenie „Łacina Południe część A” (1U i 2U)</w:t>
            </w:r>
          </w:p>
        </w:tc>
      </w:tr>
      <w:tr w:rsidR="001B2EF6" w:rsidRPr="009C1781" w14:paraId="7ADD986B" w14:textId="77777777" w:rsidTr="00151CA5">
        <w:trPr>
          <w:trHeight w:val="288"/>
        </w:trPr>
        <w:tc>
          <w:tcPr>
            <w:tcW w:w="0" w:type="auto"/>
            <w:vMerge/>
            <w:tcBorders>
              <w:top w:val="nil"/>
              <w:left w:val="single" w:sz="8" w:space="0" w:color="auto"/>
              <w:bottom w:val="single" w:sz="8" w:space="0" w:color="auto"/>
              <w:right w:val="single" w:sz="8" w:space="0" w:color="auto"/>
            </w:tcBorders>
            <w:vAlign w:val="center"/>
            <w:hideMark/>
          </w:tcPr>
          <w:p w14:paraId="18489907"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34234E6D"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Maksymalna i minimalna intensywność zabudowy</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A40F6CD" w14:textId="16F33B4A" w:rsidR="001B2EF6" w:rsidRPr="005A58C0" w:rsidRDefault="001B2EF6" w:rsidP="00755E5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2452A4" w:rsidRPr="005A58C0">
              <w:rPr>
                <w:rFonts w:ascii="Times New Roman" w:eastAsia="Times New Roman" w:hAnsi="Times New Roman" w:cs="Times New Roman"/>
                <w:sz w:val="20"/>
                <w:szCs w:val="20"/>
                <w:lang w:eastAsia="pl-PL"/>
              </w:rPr>
              <w:t xml:space="preserve">Dla zabudowy mieszkaniowej wielorodzinnej </w:t>
            </w:r>
            <w:r w:rsidR="00042E77" w:rsidRPr="005A58C0">
              <w:rPr>
                <w:rFonts w:ascii="Times New Roman" w:eastAsia="Times New Roman" w:hAnsi="Times New Roman" w:cs="Times New Roman"/>
                <w:sz w:val="20"/>
                <w:szCs w:val="20"/>
                <w:lang w:eastAsia="pl-PL"/>
              </w:rPr>
              <w:t>- nieprzekraczalna powierzchnia zabudowy do 50% powierzchni działki</w:t>
            </w:r>
            <w:r w:rsidR="0052337E" w:rsidRPr="005A58C0">
              <w:rPr>
                <w:rFonts w:ascii="Times New Roman" w:eastAsia="Times New Roman" w:hAnsi="Times New Roman" w:cs="Times New Roman"/>
                <w:sz w:val="20"/>
                <w:szCs w:val="20"/>
                <w:lang w:eastAsia="pl-PL"/>
              </w:rPr>
              <w:t xml:space="preserve"> dla 3MW i do 40% dla 4MW</w:t>
            </w:r>
          </w:p>
          <w:p w14:paraId="5424F12E" w14:textId="68B56DC5" w:rsidR="00FD3335" w:rsidRPr="005A58C0" w:rsidRDefault="00042E77" w:rsidP="00FD3335">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Dla terenów pod zabudowę usługową </w:t>
            </w:r>
            <w:r w:rsidR="00FD3335" w:rsidRPr="005A58C0">
              <w:rPr>
                <w:rFonts w:ascii="Times New Roman" w:eastAsia="Times New Roman" w:hAnsi="Times New Roman" w:cs="Times New Roman"/>
                <w:sz w:val="20"/>
                <w:szCs w:val="20"/>
                <w:lang w:eastAsia="pl-PL"/>
              </w:rPr>
              <w:t>–</w:t>
            </w:r>
            <w:r w:rsidRPr="005A58C0">
              <w:rPr>
                <w:rFonts w:ascii="Times New Roman" w:eastAsia="Times New Roman" w:hAnsi="Times New Roman" w:cs="Times New Roman"/>
                <w:sz w:val="20"/>
                <w:szCs w:val="20"/>
                <w:lang w:eastAsia="pl-PL"/>
              </w:rPr>
              <w:t xml:space="preserve"> kampus</w:t>
            </w:r>
            <w:r w:rsidR="00FD3335" w:rsidRPr="005A58C0">
              <w:rPr>
                <w:rFonts w:ascii="Times New Roman" w:eastAsia="Times New Roman" w:hAnsi="Times New Roman" w:cs="Times New Roman"/>
                <w:sz w:val="20"/>
                <w:szCs w:val="20"/>
                <w:lang w:eastAsia="pl-PL"/>
              </w:rPr>
              <w:t xml:space="preserve"> - nieprzekraczalna powierzchnia zabudowy do 50% powierzchni działki</w:t>
            </w:r>
            <w:r w:rsidR="00347045" w:rsidRPr="005A58C0">
              <w:rPr>
                <w:rFonts w:ascii="Times New Roman" w:eastAsia="Times New Roman" w:hAnsi="Times New Roman" w:cs="Times New Roman"/>
                <w:sz w:val="20"/>
                <w:szCs w:val="20"/>
                <w:lang w:eastAsia="pl-PL"/>
              </w:rPr>
              <w:t xml:space="preserve">. </w:t>
            </w:r>
          </w:p>
          <w:p w14:paraId="2AD4397D" w14:textId="2C0BC423" w:rsidR="00347045" w:rsidRPr="005A58C0" w:rsidRDefault="00347045" w:rsidP="00347045">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Dla terenów pod zabudowę usługową – </w:t>
            </w:r>
            <w:r w:rsidRPr="005A58C0">
              <w:rPr>
                <w:rFonts w:ascii="Times New Roman" w:hAnsi="Times New Roman" w:cs="Times New Roman"/>
                <w:bCs/>
                <w:sz w:val="20"/>
                <w:szCs w:val="20"/>
              </w:rPr>
              <w:t xml:space="preserve">„Łacina Południe część A” </w:t>
            </w:r>
            <w:r w:rsidRPr="005A58C0">
              <w:rPr>
                <w:rFonts w:ascii="Times New Roman" w:eastAsia="Times New Roman" w:hAnsi="Times New Roman" w:cs="Times New Roman"/>
                <w:sz w:val="20"/>
                <w:szCs w:val="20"/>
                <w:lang w:eastAsia="pl-PL"/>
              </w:rPr>
              <w:t xml:space="preserve">- nieprzekraczalna powierzchnia zabudowy do 57% powierzchni działki. </w:t>
            </w:r>
          </w:p>
          <w:p w14:paraId="49847DDE" w14:textId="65F95152" w:rsidR="00FD3335" w:rsidRPr="005A58C0" w:rsidRDefault="00B63283" w:rsidP="00FD3335">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Dla terenów pod zabudowę usługową – </w:t>
            </w:r>
            <w:r w:rsidRPr="005A58C0">
              <w:rPr>
                <w:rFonts w:ascii="Times New Roman" w:hAnsi="Times New Roman" w:cs="Times New Roman"/>
                <w:bCs/>
                <w:sz w:val="20"/>
                <w:szCs w:val="20"/>
              </w:rPr>
              <w:t>„Łacina Południe część A” na terenie 1 U od 1 do 6,5, a na terenie 2U od 1,2 do 8,5</w:t>
            </w:r>
          </w:p>
        </w:tc>
      </w:tr>
      <w:tr w:rsidR="001B2EF6" w:rsidRPr="009C1781" w14:paraId="50D15824" w14:textId="77777777" w:rsidTr="00151CA5">
        <w:trPr>
          <w:trHeight w:val="288"/>
        </w:trPr>
        <w:tc>
          <w:tcPr>
            <w:tcW w:w="0" w:type="auto"/>
            <w:vMerge/>
            <w:tcBorders>
              <w:top w:val="nil"/>
              <w:left w:val="single" w:sz="8" w:space="0" w:color="auto"/>
              <w:bottom w:val="single" w:sz="8" w:space="0" w:color="auto"/>
              <w:right w:val="single" w:sz="8" w:space="0" w:color="auto"/>
            </w:tcBorders>
            <w:vAlign w:val="center"/>
            <w:hideMark/>
          </w:tcPr>
          <w:p w14:paraId="222D3ADB"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3C37B24F"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Maksymalna wysokość zabudowy</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173F732" w14:textId="77777777" w:rsidR="007E2FF8" w:rsidRPr="005A58C0" w:rsidRDefault="001B2EF6" w:rsidP="007E2FF8">
            <w:pPr>
              <w:pStyle w:val="Bezodstpw"/>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D3335" w:rsidRPr="005A58C0">
              <w:rPr>
                <w:rFonts w:ascii="Times New Roman" w:eastAsia="Times New Roman" w:hAnsi="Times New Roman" w:cs="Times New Roman"/>
                <w:sz w:val="20"/>
                <w:szCs w:val="20"/>
                <w:lang w:eastAsia="pl-PL"/>
              </w:rPr>
              <w:t>Dla zabudowy mieszkaniowej wielorodzinnej - maks. 11 m do górnej krawędzi elewacji, jej gzymsu lub attyki w przypadku dachów płaskich lub 15 m do kalenicy</w:t>
            </w:r>
            <w:r w:rsidR="007E2FF8" w:rsidRPr="005A58C0">
              <w:rPr>
                <w:rFonts w:ascii="Times New Roman" w:eastAsia="Times New Roman" w:hAnsi="Times New Roman" w:cs="Times New Roman"/>
                <w:sz w:val="20"/>
                <w:szCs w:val="20"/>
                <w:lang w:eastAsia="pl-PL"/>
              </w:rPr>
              <w:t xml:space="preserve"> dla 3MW</w:t>
            </w:r>
          </w:p>
          <w:p w14:paraId="6E53BFE6" w14:textId="752022D6" w:rsidR="001B2EF6" w:rsidRPr="005A58C0" w:rsidRDefault="007E2FF8" w:rsidP="007E2FF8">
            <w:pPr>
              <w:pStyle w:val="Bezodstpw"/>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- 14.0 m do górnej krawędzi elewacji, jej gzymsu lub attyki dla terenu 4MW;</w:t>
            </w:r>
          </w:p>
          <w:p w14:paraId="4B904741" w14:textId="09D1D080" w:rsidR="00FD3335" w:rsidRPr="005A58C0" w:rsidRDefault="00FD3335" w:rsidP="00755E5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Dla terenów pod zabudowę usługową – kampus - wysokość zabudowy maksymalnie 18 m do górnej krawędzi elewacji jej attyki lub gzymsu dachowego</w:t>
            </w:r>
          </w:p>
          <w:p w14:paraId="53137655" w14:textId="461EE370" w:rsidR="00347045" w:rsidRPr="005A58C0" w:rsidRDefault="00347045" w:rsidP="00347045">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Dla terenów pod zabudowę usługową – </w:t>
            </w:r>
            <w:r w:rsidRPr="005A58C0">
              <w:rPr>
                <w:rFonts w:ascii="Times New Roman" w:hAnsi="Times New Roman" w:cs="Times New Roman"/>
                <w:bCs/>
                <w:sz w:val="20"/>
                <w:szCs w:val="20"/>
              </w:rPr>
              <w:t xml:space="preserve">„Łacina Południe część A” </w:t>
            </w:r>
            <w:r w:rsidRPr="005A58C0">
              <w:rPr>
                <w:rFonts w:ascii="Times New Roman" w:eastAsia="Times New Roman" w:hAnsi="Times New Roman" w:cs="Times New Roman"/>
                <w:sz w:val="20"/>
                <w:szCs w:val="20"/>
                <w:lang w:eastAsia="pl-PL"/>
              </w:rPr>
              <w:t>- wysokość zabudowy maksymalnie do 25 m (1U i 2U), a na terenie 2U w strefie zwiększonej wysokości zabudowy do 64m</w:t>
            </w:r>
          </w:p>
          <w:p w14:paraId="1D22974F" w14:textId="77777777" w:rsidR="00347045" w:rsidRPr="005A58C0" w:rsidRDefault="00347045" w:rsidP="00755E54">
            <w:pPr>
              <w:autoSpaceDN w:val="0"/>
              <w:spacing w:before="144" w:after="144" w:line="240" w:lineRule="auto"/>
              <w:jc w:val="both"/>
              <w:rPr>
                <w:rFonts w:ascii="Times New Roman" w:eastAsia="Times New Roman" w:hAnsi="Times New Roman" w:cs="Times New Roman"/>
                <w:sz w:val="20"/>
                <w:szCs w:val="20"/>
                <w:lang w:eastAsia="pl-PL"/>
              </w:rPr>
            </w:pPr>
          </w:p>
          <w:p w14:paraId="3FC056DE" w14:textId="0D6E7A15" w:rsidR="00FD3335" w:rsidRPr="005A58C0" w:rsidRDefault="00FD3335" w:rsidP="00755E54">
            <w:pPr>
              <w:autoSpaceDN w:val="0"/>
              <w:spacing w:before="144" w:after="144" w:line="240" w:lineRule="auto"/>
              <w:jc w:val="both"/>
              <w:rPr>
                <w:rFonts w:ascii="Times New Roman" w:eastAsia="Times New Roman" w:hAnsi="Times New Roman" w:cs="Times New Roman"/>
                <w:sz w:val="20"/>
                <w:szCs w:val="20"/>
                <w:lang w:eastAsia="pl-PL"/>
              </w:rPr>
            </w:pPr>
          </w:p>
        </w:tc>
      </w:tr>
      <w:tr w:rsidR="001B2EF6" w:rsidRPr="009C1781" w14:paraId="5D265058" w14:textId="77777777" w:rsidTr="00151CA5">
        <w:trPr>
          <w:trHeight w:val="288"/>
        </w:trPr>
        <w:tc>
          <w:tcPr>
            <w:tcW w:w="0" w:type="auto"/>
            <w:vMerge/>
            <w:tcBorders>
              <w:top w:val="nil"/>
              <w:left w:val="single" w:sz="8" w:space="0" w:color="auto"/>
              <w:bottom w:val="single" w:sz="8" w:space="0" w:color="auto"/>
              <w:right w:val="single" w:sz="8" w:space="0" w:color="auto"/>
            </w:tcBorders>
            <w:vAlign w:val="center"/>
            <w:hideMark/>
          </w:tcPr>
          <w:p w14:paraId="0A2F4096"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51CD765C"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Minimalny udział procentowy powierzchni biologicznie czynnej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91AE92C" w14:textId="158E5A67" w:rsidR="00FD3335" w:rsidRPr="005A58C0" w:rsidRDefault="00FD3335" w:rsidP="00755E5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Dla zabudowy mieszkaniowej wielorodzinnej – 30%</w:t>
            </w:r>
            <w:r w:rsidR="000314E7" w:rsidRPr="005A58C0">
              <w:rPr>
                <w:rFonts w:ascii="Times New Roman" w:eastAsia="Times New Roman" w:hAnsi="Times New Roman" w:cs="Times New Roman"/>
                <w:sz w:val="20"/>
                <w:szCs w:val="20"/>
                <w:lang w:eastAsia="pl-PL"/>
              </w:rPr>
              <w:t xml:space="preserve"> działki</w:t>
            </w:r>
            <w:r w:rsidR="007E2FF8" w:rsidRPr="005A58C0">
              <w:rPr>
                <w:rFonts w:ascii="Times New Roman" w:eastAsia="Times New Roman" w:hAnsi="Times New Roman" w:cs="Times New Roman"/>
                <w:sz w:val="20"/>
                <w:szCs w:val="20"/>
                <w:lang w:eastAsia="pl-PL"/>
              </w:rPr>
              <w:t xml:space="preserve"> dla 3MW oraz 40% dla 4MW</w:t>
            </w:r>
          </w:p>
          <w:p w14:paraId="42FA14A3" w14:textId="77777777" w:rsidR="001B2EF6" w:rsidRPr="005A58C0" w:rsidRDefault="00FD3335" w:rsidP="00755E54">
            <w:pPr>
              <w:autoSpaceDN w:val="0"/>
              <w:spacing w:before="144" w:after="144" w:line="240" w:lineRule="auto"/>
              <w:jc w:val="both"/>
              <w:rPr>
                <w:rFonts w:ascii="Times New Roman" w:hAnsi="Times New Roman" w:cs="Times New Roman"/>
                <w:sz w:val="20"/>
                <w:szCs w:val="20"/>
              </w:rPr>
            </w:pPr>
            <w:r w:rsidRPr="005A58C0">
              <w:rPr>
                <w:rFonts w:ascii="Times New Roman" w:eastAsia="Times New Roman" w:hAnsi="Times New Roman" w:cs="Times New Roman"/>
                <w:sz w:val="20"/>
                <w:szCs w:val="20"/>
                <w:lang w:eastAsia="pl-PL"/>
              </w:rPr>
              <w:lastRenderedPageBreak/>
              <w:t xml:space="preserve">Dla terenów pod zabudowę usługową – kampus - </w:t>
            </w:r>
            <w:r w:rsidRPr="005A58C0">
              <w:rPr>
                <w:rFonts w:ascii="Times New Roman" w:hAnsi="Times New Roman" w:cs="Times New Roman"/>
                <w:sz w:val="20"/>
                <w:szCs w:val="20"/>
              </w:rPr>
              <w:t>30% działki</w:t>
            </w:r>
          </w:p>
          <w:p w14:paraId="52428648" w14:textId="7837C3D7" w:rsidR="00B63283" w:rsidRPr="005A58C0" w:rsidRDefault="00B63283" w:rsidP="00755E5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Dla terenów pod zabudowę usługową – </w:t>
            </w:r>
            <w:r w:rsidRPr="005A58C0">
              <w:rPr>
                <w:rFonts w:ascii="Times New Roman" w:hAnsi="Times New Roman" w:cs="Times New Roman"/>
                <w:bCs/>
                <w:sz w:val="20"/>
                <w:szCs w:val="20"/>
              </w:rPr>
              <w:t>„Łacina Południe część A” – 20% działki dla 1U oraz 25% działki dla 2U</w:t>
            </w:r>
          </w:p>
        </w:tc>
      </w:tr>
      <w:tr w:rsidR="001B2EF6" w:rsidRPr="009C1781" w14:paraId="2D2856EA" w14:textId="77777777" w:rsidTr="00151CA5">
        <w:trPr>
          <w:trHeight w:val="288"/>
        </w:trPr>
        <w:tc>
          <w:tcPr>
            <w:tcW w:w="0" w:type="auto"/>
            <w:vMerge/>
            <w:tcBorders>
              <w:top w:val="nil"/>
              <w:left w:val="single" w:sz="8" w:space="0" w:color="auto"/>
              <w:bottom w:val="single" w:sz="8" w:space="0" w:color="auto"/>
              <w:right w:val="single" w:sz="8" w:space="0" w:color="auto"/>
            </w:tcBorders>
            <w:vAlign w:val="center"/>
            <w:hideMark/>
          </w:tcPr>
          <w:p w14:paraId="21E53828"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71A8177E"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Minimalna liczba miejsc do parkowania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04B2E99" w14:textId="7DAD773A" w:rsidR="001B2EF6" w:rsidRPr="005A58C0" w:rsidRDefault="00874402" w:rsidP="00755E5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Dla zabudowy mieszkaniowej wielorodzinnej - 220 miejsc parkingowych na 1000 mieszkańców dla zabudowy wielorodzinnej</w:t>
            </w:r>
            <w:r w:rsidR="007E2FF8" w:rsidRPr="005A58C0">
              <w:rPr>
                <w:rFonts w:ascii="Times New Roman" w:eastAsia="Times New Roman" w:hAnsi="Times New Roman" w:cs="Times New Roman"/>
                <w:sz w:val="20"/>
                <w:szCs w:val="20"/>
                <w:lang w:eastAsia="pl-PL"/>
              </w:rPr>
              <w:t xml:space="preserve"> oraz 1 miejsce parkingowe na 1 dom dla zabudowy jednorodzinnej</w:t>
            </w:r>
          </w:p>
          <w:p w14:paraId="3217E5EC" w14:textId="25A24B81" w:rsidR="00874402" w:rsidRPr="005A58C0" w:rsidRDefault="00874402" w:rsidP="00E613DD">
            <w:pPr>
              <w:autoSpaceDN w:val="0"/>
              <w:spacing w:before="144" w:after="144" w:line="240" w:lineRule="auto"/>
              <w:jc w:val="both"/>
              <w:rPr>
                <w:rFonts w:ascii="Times New Roman" w:hAnsi="Times New Roman" w:cs="Times New Roman"/>
                <w:sz w:val="20"/>
                <w:szCs w:val="20"/>
              </w:rPr>
            </w:pPr>
            <w:r w:rsidRPr="005A58C0">
              <w:rPr>
                <w:rFonts w:ascii="Times New Roman" w:eastAsia="Times New Roman" w:hAnsi="Times New Roman" w:cs="Times New Roman"/>
                <w:sz w:val="20"/>
                <w:szCs w:val="20"/>
                <w:lang w:eastAsia="pl-PL"/>
              </w:rPr>
              <w:t xml:space="preserve">Dla terenów pod zabudowę usługową – kampus </w:t>
            </w:r>
            <w:r w:rsidR="00E613DD" w:rsidRPr="005A58C0">
              <w:rPr>
                <w:rFonts w:ascii="Times New Roman" w:eastAsia="Times New Roman" w:hAnsi="Times New Roman" w:cs="Times New Roman"/>
                <w:sz w:val="20"/>
                <w:szCs w:val="20"/>
                <w:lang w:eastAsia="pl-PL"/>
              </w:rPr>
              <w:t>–</w:t>
            </w:r>
            <w:r w:rsidRPr="005A58C0">
              <w:rPr>
                <w:rFonts w:ascii="Times New Roman" w:eastAsia="Times New Roman" w:hAnsi="Times New Roman" w:cs="Times New Roman"/>
                <w:sz w:val="20"/>
                <w:szCs w:val="20"/>
                <w:lang w:eastAsia="pl-PL"/>
              </w:rPr>
              <w:t xml:space="preserve"> </w:t>
            </w:r>
            <w:r w:rsidR="00E613DD" w:rsidRPr="005A58C0">
              <w:rPr>
                <w:rFonts w:ascii="Times New Roman" w:hAnsi="Times New Roman" w:cs="Times New Roman"/>
                <w:sz w:val="20"/>
                <w:szCs w:val="20"/>
              </w:rPr>
              <w:t>w zależności od przeznaczenia, zapewnienie następującej, minimalnej liczby miejsc parkingowych, w tym dla osób niepełnosprawnych</w:t>
            </w:r>
            <w:r w:rsidR="00664637" w:rsidRPr="005A58C0">
              <w:rPr>
                <w:rFonts w:ascii="Times New Roman" w:hAnsi="Times New Roman" w:cs="Times New Roman"/>
                <w:sz w:val="20"/>
                <w:szCs w:val="20"/>
              </w:rPr>
              <w:t>:</w:t>
            </w:r>
          </w:p>
          <w:p w14:paraId="0EBAC4E5" w14:textId="27287D06" w:rsidR="00664637" w:rsidRPr="005A58C0" w:rsidRDefault="00664637" w:rsidP="00664637">
            <w:pPr>
              <w:pStyle w:val="Akapitzlist"/>
              <w:numPr>
                <w:ilvl w:val="0"/>
                <w:numId w:val="16"/>
              </w:numPr>
              <w:autoSpaceDN w:val="0"/>
              <w:spacing w:before="144" w:after="144"/>
              <w:jc w:val="both"/>
              <w:rPr>
                <w:lang w:eastAsia="pl-PL"/>
              </w:rPr>
            </w:pPr>
            <w:r w:rsidRPr="005A58C0">
              <w:t>dla biur 11 miejsc parkingowych na 1000 m</w:t>
            </w:r>
            <w:r w:rsidRPr="005A58C0">
              <w:rPr>
                <w:vertAlign w:val="superscript"/>
              </w:rPr>
              <w:t>2</w:t>
            </w:r>
            <w:r w:rsidRPr="005A58C0">
              <w:t xml:space="preserve"> powierzchni użytkowej</w:t>
            </w:r>
          </w:p>
          <w:p w14:paraId="3CE32C23" w14:textId="5AE2B3E2" w:rsidR="00664637" w:rsidRPr="005A58C0" w:rsidRDefault="00664637" w:rsidP="00664637">
            <w:pPr>
              <w:pStyle w:val="Akapitzlist"/>
              <w:numPr>
                <w:ilvl w:val="0"/>
                <w:numId w:val="16"/>
              </w:numPr>
              <w:autoSpaceDN w:val="0"/>
              <w:spacing w:before="144" w:after="144"/>
              <w:jc w:val="both"/>
              <w:rPr>
                <w:lang w:eastAsia="pl-PL"/>
              </w:rPr>
            </w:pPr>
            <w:r w:rsidRPr="005A58C0">
              <w:t>dla obiektów handlowych 7 miejsc parkingowych na 1000 m</w:t>
            </w:r>
            <w:r w:rsidRPr="005A58C0">
              <w:rPr>
                <w:vertAlign w:val="superscript"/>
              </w:rPr>
              <w:t>2</w:t>
            </w:r>
            <w:r w:rsidRPr="005A58C0">
              <w:t xml:space="preserve"> powierzchni użytkowej</w:t>
            </w:r>
          </w:p>
          <w:p w14:paraId="0A5C6B58" w14:textId="2A4B56AD" w:rsidR="00664637" w:rsidRPr="005A58C0" w:rsidRDefault="00664637" w:rsidP="00664637">
            <w:pPr>
              <w:pStyle w:val="Akapitzlist"/>
              <w:numPr>
                <w:ilvl w:val="0"/>
                <w:numId w:val="16"/>
              </w:numPr>
              <w:autoSpaceDN w:val="0"/>
              <w:spacing w:before="144" w:after="144"/>
              <w:jc w:val="both"/>
              <w:rPr>
                <w:lang w:eastAsia="pl-PL"/>
              </w:rPr>
            </w:pPr>
            <w:r w:rsidRPr="005A58C0">
              <w:t>dla obiektów gastronomicznych 12 miejsc parkingowych na 100 miejsc</w:t>
            </w:r>
          </w:p>
          <w:p w14:paraId="3FE3B25C" w14:textId="722BA8D9" w:rsidR="00664637" w:rsidRPr="005A58C0" w:rsidRDefault="00664637" w:rsidP="00664637">
            <w:pPr>
              <w:pStyle w:val="Akapitzlist"/>
              <w:numPr>
                <w:ilvl w:val="0"/>
                <w:numId w:val="16"/>
              </w:numPr>
              <w:autoSpaceDN w:val="0"/>
              <w:spacing w:before="144" w:after="144"/>
              <w:jc w:val="both"/>
              <w:rPr>
                <w:lang w:eastAsia="pl-PL"/>
              </w:rPr>
            </w:pPr>
            <w:r w:rsidRPr="005A58C0">
              <w:t>dla kin, teatrów 12 miejsc parkingowych na 100 miejsc</w:t>
            </w:r>
          </w:p>
          <w:p w14:paraId="2D8A83BF" w14:textId="5E1917D6" w:rsidR="00664637" w:rsidRPr="005A58C0" w:rsidRDefault="00664637" w:rsidP="00664637">
            <w:pPr>
              <w:pStyle w:val="Akapitzlist"/>
              <w:numPr>
                <w:ilvl w:val="0"/>
                <w:numId w:val="16"/>
              </w:numPr>
              <w:autoSpaceDN w:val="0"/>
              <w:spacing w:before="144" w:after="144"/>
              <w:jc w:val="both"/>
              <w:rPr>
                <w:lang w:eastAsia="pl-PL"/>
              </w:rPr>
            </w:pPr>
            <w:r w:rsidRPr="005A58C0">
              <w:t>dla miejsc zgromadzeń 6 miejsc parkingowych na 100 miejsc</w:t>
            </w:r>
          </w:p>
          <w:p w14:paraId="56AB9CD4" w14:textId="114BEBB1" w:rsidR="00664637" w:rsidRPr="005A58C0" w:rsidRDefault="00664637" w:rsidP="00664637">
            <w:pPr>
              <w:pStyle w:val="Akapitzlist"/>
              <w:numPr>
                <w:ilvl w:val="0"/>
                <w:numId w:val="16"/>
              </w:numPr>
              <w:autoSpaceDN w:val="0"/>
              <w:spacing w:before="144" w:after="144"/>
              <w:jc w:val="both"/>
              <w:rPr>
                <w:lang w:eastAsia="pl-PL"/>
              </w:rPr>
            </w:pPr>
            <w:r w:rsidRPr="005A58C0">
              <w:t>dla hoteli 20 miejsc parkingowych na 100 łóżek</w:t>
            </w:r>
          </w:p>
          <w:p w14:paraId="589A291E" w14:textId="343FCEB5" w:rsidR="00E613DD" w:rsidRPr="005A58C0" w:rsidRDefault="00E613DD" w:rsidP="00E613DD">
            <w:pPr>
              <w:autoSpaceDN w:val="0"/>
              <w:spacing w:before="144" w:after="144" w:line="240" w:lineRule="auto"/>
              <w:jc w:val="both"/>
              <w:rPr>
                <w:rFonts w:ascii="Times New Roman" w:eastAsia="Times New Roman" w:hAnsi="Times New Roman" w:cs="Times New Roman"/>
                <w:sz w:val="20"/>
                <w:szCs w:val="20"/>
                <w:lang w:eastAsia="pl-PL"/>
              </w:rPr>
            </w:pPr>
          </w:p>
        </w:tc>
      </w:tr>
      <w:bookmarkEnd w:id="4"/>
      <w:tr w:rsidR="001B2EF6" w:rsidRPr="009C1781" w14:paraId="6E0D176D" w14:textId="77777777" w:rsidTr="00151CA5">
        <w:trPr>
          <w:trHeight w:val="1687"/>
        </w:trPr>
        <w:tc>
          <w:tcPr>
            <w:tcW w:w="2657" w:type="dxa"/>
            <w:vMerge w:val="restart"/>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7F9B21E0" w14:textId="77777777" w:rsidR="001B2EF6" w:rsidRPr="009C1781" w:rsidRDefault="001B2EF6" w:rsidP="001B2EF6">
            <w:pPr>
              <w:spacing w:before="100" w:beforeAutospacing="1" w:after="100" w:afterAutospacing="1" w:line="240" w:lineRule="auto"/>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7D6F8A87" w14:textId="7A166B13" w:rsidR="001B2EF6" w:rsidRPr="009C1781" w:rsidRDefault="001B2EF6" w:rsidP="001B2EF6">
            <w:pPr>
              <w:spacing w:before="100" w:beforeAutospacing="1" w:after="100" w:afterAutospacing="1" w:line="240" w:lineRule="auto"/>
              <w:rPr>
                <w:rFonts w:ascii="Times New Roman" w:eastAsia="Times New Roman" w:hAnsi="Times New Roman" w:cs="Times New Roman"/>
                <w:b/>
                <w:bCs/>
                <w:color w:val="70AD47" w:themeColor="accent6"/>
                <w:sz w:val="20"/>
                <w:szCs w:val="20"/>
                <w:lang w:eastAsia="pl-PL"/>
              </w:rPr>
            </w:pPr>
            <w:r w:rsidRPr="009C1781">
              <w:rPr>
                <w:rFonts w:ascii="Times New Roman" w:eastAsia="Times New Roman" w:hAnsi="Times New Roman" w:cs="Times New Roman"/>
                <w:sz w:val="20"/>
                <w:szCs w:val="20"/>
                <w:lang w:eastAsia="pl-PL"/>
              </w:rPr>
              <w:t> </w:t>
            </w:r>
          </w:p>
          <w:p w14:paraId="3B225C7F"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0EB034E" w14:textId="3074D84F"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p w14:paraId="72EA8DB1"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Funkcja zabudowy i zagospodarowania terenu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B1AC6C8" w14:textId="0D9B2911"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p>
          <w:p w14:paraId="7D48D47F" w14:textId="5D1CE0E7" w:rsidR="001B2EF6" w:rsidRPr="005A58C0" w:rsidRDefault="00F0031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Nie dotyczy</w:t>
            </w:r>
          </w:p>
        </w:tc>
      </w:tr>
      <w:tr w:rsidR="001B2EF6" w:rsidRPr="009C1781" w14:paraId="442F1912" w14:textId="77777777" w:rsidTr="00E06B7E">
        <w:trPr>
          <w:trHeight w:val="181"/>
        </w:trPr>
        <w:tc>
          <w:tcPr>
            <w:tcW w:w="0" w:type="auto"/>
            <w:vMerge/>
            <w:tcBorders>
              <w:top w:val="nil"/>
              <w:left w:val="single" w:sz="8" w:space="0" w:color="auto"/>
              <w:bottom w:val="single" w:sz="8" w:space="0" w:color="auto"/>
              <w:right w:val="single" w:sz="8" w:space="0" w:color="auto"/>
            </w:tcBorders>
            <w:vAlign w:val="center"/>
            <w:hideMark/>
          </w:tcPr>
          <w:p w14:paraId="0748A437"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D08FF3" w14:textId="37ECE698"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Cechy zabudowy i zagospodarowania terenu:</w:t>
            </w:r>
            <w:r w:rsidR="00481123" w:rsidRPr="005A58C0">
              <w:rPr>
                <w:rFonts w:ascii="Times New Roman" w:eastAsia="Times New Roman" w:hAnsi="Times New Roman" w:cs="Times New Roman"/>
                <w:sz w:val="20"/>
                <w:szCs w:val="20"/>
                <w:lang w:eastAsia="pl-PL"/>
              </w:rPr>
              <w:t xml:space="preserve"> </w:t>
            </w:r>
          </w:p>
        </w:tc>
      </w:tr>
      <w:tr w:rsidR="001B2EF6" w:rsidRPr="009C1781" w14:paraId="2ADC0539"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5DE19F6E"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33AE1B46"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gabaryty</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9591DE1" w14:textId="1657258B"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4827C970"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55C1364B"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704CCC3C"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forma architektoniczna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D4416B4" w14:textId="2848148C"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298D5E7E"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3967A38E"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57FA5E91"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usytuowanie linii zabudowy</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B0AD4AA" w14:textId="70490A89"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6464C78E"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2F6ECE5B"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48EF56F2"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intensywność wykorzystania terenu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0E74C3F" w14:textId="3D261524"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0E6B890D"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0948750C"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3BBEF466"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warunki ochrony środowiska i zdrowia ludzi, przyrody i krajobrazu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7B2B8E2" w14:textId="7905EB2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59E16381"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4E756E1F"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A0E7029"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6F180A7" w14:textId="731B38A4"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398A0D97"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36B327BA"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1207D893"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warunki ochrony dziedzictwa kulturowego i zabytków oraz dóbr kultury współczesnej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20C3640" w14:textId="7658E6FB"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37EC1C79"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0038399E"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8071B1F"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3A83B00" w14:textId="4BA231AE"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5AB0E0D4"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780D225C"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AEC2832"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warunki i szczegółowe zasady obsługi w zakresie komunikacji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0CEDAE9" w14:textId="2858BBDA"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0FE64C4C" w14:textId="77777777" w:rsidTr="00151CA5">
        <w:trPr>
          <w:trHeight w:val="181"/>
        </w:trPr>
        <w:tc>
          <w:tcPr>
            <w:tcW w:w="0" w:type="auto"/>
            <w:vMerge/>
            <w:tcBorders>
              <w:top w:val="nil"/>
              <w:left w:val="single" w:sz="8" w:space="0" w:color="auto"/>
              <w:bottom w:val="single" w:sz="8" w:space="0" w:color="auto"/>
              <w:right w:val="single" w:sz="8" w:space="0" w:color="auto"/>
            </w:tcBorders>
            <w:vAlign w:val="center"/>
            <w:hideMark/>
          </w:tcPr>
          <w:p w14:paraId="4EAE0A18"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5C615D6"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warunki i szczegółowe zasady obsługi w zakresie infrastruktury technicznej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B40616D" w14:textId="6F2B534A"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F00316" w:rsidRPr="005A58C0">
              <w:rPr>
                <w:rFonts w:ascii="Times New Roman" w:eastAsia="Times New Roman" w:hAnsi="Times New Roman" w:cs="Times New Roman"/>
                <w:sz w:val="20"/>
                <w:szCs w:val="20"/>
                <w:lang w:eastAsia="pl-PL"/>
              </w:rPr>
              <w:t>Nie dotyczy</w:t>
            </w:r>
          </w:p>
        </w:tc>
      </w:tr>
      <w:tr w:rsidR="001B2EF6" w:rsidRPr="009C1781" w14:paraId="1E1279D5" w14:textId="77777777" w:rsidTr="00151CA5">
        <w:trPr>
          <w:trHeight w:val="73"/>
        </w:trPr>
        <w:tc>
          <w:tcPr>
            <w:tcW w:w="2657" w:type="dxa"/>
            <w:vMerge w:val="restart"/>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109ADD8" w14:textId="08A2084A" w:rsidR="001B2EF6" w:rsidRPr="009C1781" w:rsidRDefault="001B2EF6" w:rsidP="001B2EF6">
            <w:pPr>
              <w:autoSpaceDN w:val="0"/>
              <w:spacing w:before="144" w:after="144" w:line="240" w:lineRule="auto"/>
              <w:rPr>
                <w:rFonts w:ascii="Times New Roman" w:eastAsia="Times New Roman" w:hAnsi="Times New Roman" w:cs="Times New Roman"/>
                <w:sz w:val="20"/>
                <w:szCs w:val="20"/>
                <w:lang w:eastAsia="pl-PL"/>
              </w:rPr>
            </w:pPr>
            <w:bookmarkStart w:id="6" w:name="_Hlk148950819"/>
            <w:bookmarkStart w:id="7" w:name="_Hlk148951137"/>
            <w:r w:rsidRPr="009C1781">
              <w:rPr>
                <w:rFonts w:ascii="Times New Roman" w:eastAsia="Times New Roman" w:hAnsi="Times New Roman" w:cs="Times New Roman"/>
                <w:color w:val="000000"/>
                <w:sz w:val="20"/>
                <w:szCs w:val="20"/>
                <w:lang w:eastAsia="pl-PL"/>
              </w:rPr>
              <w:t>Informacje dotyczące przewidzianych inwestycji w promieniu 1 km od terenu objętego przedsięwzięciem deweloperskim lub zadaniem inwestycyjnym</w:t>
            </w:r>
            <w:bookmarkEnd w:id="6"/>
            <w:r w:rsidR="00E06B7E" w:rsidRPr="009C1781">
              <w:rPr>
                <w:rStyle w:val="Odwoanieprzypisudolnego"/>
                <w:rFonts w:ascii="Times New Roman" w:eastAsia="Times New Roman" w:hAnsi="Times New Roman" w:cs="Times New Roman"/>
                <w:color w:val="000000"/>
                <w:sz w:val="20"/>
                <w:szCs w:val="20"/>
                <w:vertAlign w:val="superscript"/>
                <w:lang w:eastAsia="pl-PL"/>
              </w:rPr>
              <w:footnoteReference w:id="6"/>
            </w:r>
            <w:r w:rsidR="00E06B7E" w:rsidRPr="009C1781">
              <w:rPr>
                <w:rFonts w:ascii="Times New Roman" w:eastAsia="Times New Roman" w:hAnsi="Times New Roman" w:cs="Times New Roman"/>
                <w:color w:val="000000"/>
                <w:sz w:val="20"/>
                <w:szCs w:val="20"/>
                <w:vertAlign w:val="superscript"/>
                <w:lang w:eastAsia="pl-PL"/>
              </w:rPr>
              <w:t>)</w:t>
            </w:r>
            <w:r w:rsidRPr="009C1781">
              <w:rPr>
                <w:rFonts w:ascii="Times New Roman" w:eastAsia="Times New Roman" w:hAnsi="Times New Roman" w:cs="Times New Roman"/>
                <w:color w:val="000000"/>
                <w:sz w:val="20"/>
                <w:szCs w:val="20"/>
                <w:lang w:eastAsia="pl-PL"/>
              </w:rPr>
              <w:t>, zawarte w:</w:t>
            </w:r>
          </w:p>
          <w:p w14:paraId="3B5EEDB8" w14:textId="77777777" w:rsidR="001B2EF6" w:rsidRPr="009C1781" w:rsidRDefault="001B2EF6" w:rsidP="001B2EF6">
            <w:pPr>
              <w:spacing w:before="100" w:beforeAutospacing="1" w:after="100" w:afterAutospacing="1" w:line="240" w:lineRule="auto"/>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43D272CD"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bookmarkStart w:id="8" w:name="_Hlk148950207"/>
            <w:r w:rsidRPr="009C1781">
              <w:rPr>
                <w:rFonts w:ascii="Times New Roman" w:eastAsia="Times New Roman" w:hAnsi="Times New Roman" w:cs="Times New Roman"/>
                <w:sz w:val="20"/>
                <w:szCs w:val="20"/>
                <w:lang w:eastAsia="pl-PL"/>
              </w:rPr>
              <w:t>miejscowych planach zagospodarowania przestrzennego</w:t>
            </w:r>
            <w:bookmarkEnd w:id="8"/>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ED3C7C4" w14:textId="5B47F096" w:rsidR="001C6741" w:rsidRPr="005A58C0" w:rsidRDefault="001C6741" w:rsidP="00B2226D">
            <w:pPr>
              <w:pStyle w:val="Akapitzlist"/>
              <w:numPr>
                <w:ilvl w:val="0"/>
                <w:numId w:val="18"/>
              </w:numPr>
              <w:spacing w:line="100" w:lineRule="atLeast"/>
              <w:ind w:left="316" w:firstLine="0"/>
              <w:jc w:val="both"/>
              <w:rPr>
                <w:sz w:val="18"/>
                <w:szCs w:val="18"/>
              </w:rPr>
            </w:pPr>
            <w:r w:rsidRPr="005A58C0">
              <w:rPr>
                <w:bCs/>
              </w:rPr>
              <w:t xml:space="preserve">Uchwała nr XXIV/216/V/2007 Rady Miasta Poznania z dnia 23 października 2007 r. </w:t>
            </w:r>
            <w:r w:rsidR="00A17313" w:rsidRPr="005A58C0">
              <w:t xml:space="preserve">„Kampus Politechniki Poznańskiej </w:t>
            </w:r>
            <w:r w:rsidR="00A17313" w:rsidRPr="005A58C0">
              <w:br/>
              <w:t>w paśmie Warta” w Poznaniu</w:t>
            </w:r>
            <w:r w:rsidR="00B2226D" w:rsidRPr="005A58C0">
              <w:t>;</w:t>
            </w:r>
          </w:p>
          <w:p w14:paraId="4AC74B26" w14:textId="77777777" w:rsidR="008734EE" w:rsidRPr="005A58C0" w:rsidRDefault="008734EE" w:rsidP="00B2226D">
            <w:pPr>
              <w:pStyle w:val="Akapitzlist"/>
              <w:spacing w:line="100" w:lineRule="atLeast"/>
              <w:ind w:left="316"/>
              <w:jc w:val="both"/>
              <w:rPr>
                <w:sz w:val="18"/>
                <w:szCs w:val="18"/>
              </w:rPr>
            </w:pPr>
          </w:p>
          <w:p w14:paraId="588B5755" w14:textId="71E5A3F3" w:rsidR="000819C4" w:rsidRPr="005A58C0" w:rsidRDefault="000819C4" w:rsidP="00B2226D">
            <w:pPr>
              <w:pStyle w:val="Akapitzlist"/>
              <w:numPr>
                <w:ilvl w:val="0"/>
                <w:numId w:val="18"/>
              </w:numPr>
              <w:spacing w:line="100" w:lineRule="atLeast"/>
              <w:ind w:left="316" w:firstLine="0"/>
              <w:jc w:val="both"/>
              <w:rPr>
                <w:sz w:val="18"/>
                <w:szCs w:val="18"/>
              </w:rPr>
            </w:pPr>
            <w:r w:rsidRPr="005A58C0">
              <w:t>UCHWAŁA NR CI/1149/IV/2006 RADY MIASTA POZNANIA z dnia 29 sierpnia 2006 r. Rataje Łacina część A w Poznaniu</w:t>
            </w:r>
            <w:r w:rsidR="00B2226D" w:rsidRPr="005A58C0">
              <w:t>;</w:t>
            </w:r>
          </w:p>
          <w:p w14:paraId="42C0F5F1" w14:textId="77777777" w:rsidR="008734EE" w:rsidRPr="005A58C0" w:rsidRDefault="008734EE" w:rsidP="00B2226D">
            <w:pPr>
              <w:pStyle w:val="Akapitzlist"/>
              <w:ind w:left="316"/>
              <w:jc w:val="both"/>
              <w:rPr>
                <w:sz w:val="18"/>
                <w:szCs w:val="18"/>
              </w:rPr>
            </w:pPr>
          </w:p>
          <w:p w14:paraId="54B85844" w14:textId="4DCB3E11" w:rsidR="00C305F6" w:rsidRPr="005A58C0" w:rsidRDefault="00C305F6" w:rsidP="001028F0">
            <w:pPr>
              <w:pStyle w:val="Akapitzlist"/>
              <w:widowControl w:val="0"/>
              <w:numPr>
                <w:ilvl w:val="0"/>
                <w:numId w:val="18"/>
              </w:numPr>
              <w:ind w:left="316" w:firstLine="0"/>
              <w:jc w:val="both"/>
            </w:pPr>
            <w:r w:rsidRPr="005A58C0">
              <w:t>UCHWAŁA</w:t>
            </w:r>
            <w:r w:rsidR="0024708C" w:rsidRPr="005A58C0">
              <w:t xml:space="preserve"> </w:t>
            </w:r>
            <w:r w:rsidRPr="005A58C0">
              <w:t>N</w:t>
            </w:r>
            <w:r w:rsidR="0024708C" w:rsidRPr="005A58C0">
              <w:t xml:space="preserve">R </w:t>
            </w:r>
            <w:r w:rsidRPr="005A58C0">
              <w:t>XLIX/637/V/2009</w:t>
            </w:r>
            <w:r w:rsidR="00B2226D" w:rsidRPr="005A58C0">
              <w:t xml:space="preserve"> </w:t>
            </w:r>
            <w:r w:rsidRPr="005A58C0">
              <w:t>RADY MIASTA</w:t>
            </w:r>
            <w:r w:rsidR="00B2226D" w:rsidRPr="005A58C0">
              <w:t xml:space="preserve"> </w:t>
            </w:r>
            <w:r w:rsidRPr="005A58C0">
              <w:t xml:space="preserve">POZNANIA z dnia 10 lutego </w:t>
            </w:r>
            <w:r w:rsidR="00D178EB" w:rsidRPr="005A58C0">
              <w:t>2009r</w:t>
            </w:r>
            <w:r w:rsidR="00B2226D" w:rsidRPr="005A58C0">
              <w:t xml:space="preserve"> </w:t>
            </w:r>
            <w:r w:rsidRPr="005A58C0">
              <w:t>PARK NAD WARTĄ” w Poznaniu</w:t>
            </w:r>
            <w:r w:rsidR="00D178EB" w:rsidRPr="005A58C0">
              <w:t>;</w:t>
            </w:r>
          </w:p>
          <w:p w14:paraId="43E05379" w14:textId="77777777" w:rsidR="00665BE2" w:rsidRPr="005A58C0" w:rsidRDefault="00665BE2" w:rsidP="00665BE2">
            <w:pPr>
              <w:pStyle w:val="Akapitzlist"/>
            </w:pPr>
          </w:p>
          <w:p w14:paraId="2BCBC8BA" w14:textId="47EA4E28" w:rsidR="00665BE2" w:rsidRPr="005A58C0" w:rsidRDefault="00665BE2" w:rsidP="001028F0">
            <w:pPr>
              <w:pStyle w:val="Akapitzlist"/>
              <w:widowControl w:val="0"/>
              <w:numPr>
                <w:ilvl w:val="0"/>
                <w:numId w:val="18"/>
              </w:numPr>
              <w:ind w:left="316" w:firstLine="0"/>
              <w:jc w:val="both"/>
            </w:pPr>
            <w:r w:rsidRPr="005A58C0">
              <w:t>Uchwała Nr XXVII/488/VIII/2020 Rady Miasta Poznania z dnia 05-05-2020 w sprawie miejscowego planu zagospodarowania przestrzennego "Łacina - Południe - część A" w Poznaniu.</w:t>
            </w:r>
          </w:p>
          <w:p w14:paraId="7A65C561" w14:textId="77777777" w:rsidR="00665BE2" w:rsidRPr="005A58C0" w:rsidRDefault="00665BE2" w:rsidP="00665BE2">
            <w:pPr>
              <w:pStyle w:val="Akapitzlist"/>
            </w:pPr>
          </w:p>
          <w:p w14:paraId="4544C5D1" w14:textId="6E5863AC" w:rsidR="00665BE2" w:rsidRPr="005A58C0" w:rsidRDefault="00665BE2" w:rsidP="001028F0">
            <w:pPr>
              <w:pStyle w:val="Akapitzlist"/>
              <w:widowControl w:val="0"/>
              <w:numPr>
                <w:ilvl w:val="0"/>
                <w:numId w:val="18"/>
              </w:numPr>
              <w:ind w:left="316" w:firstLine="0"/>
              <w:jc w:val="both"/>
            </w:pPr>
            <w:r w:rsidRPr="005A58C0">
              <w:t>Uchwała Nr XIX/242/VII/2015 Rady Miasta Poznania z dnia 03-11-2015 w sprawie miejscowego planu zagospodarowania przestrzennego "Osiedle Piastowskie" w Poznaniu.</w:t>
            </w:r>
          </w:p>
          <w:p w14:paraId="1AA1BF14" w14:textId="77777777" w:rsidR="00665BE2" w:rsidRPr="005A58C0" w:rsidRDefault="00665BE2" w:rsidP="00665BE2">
            <w:pPr>
              <w:pStyle w:val="Akapitzlist"/>
            </w:pPr>
          </w:p>
          <w:p w14:paraId="48E52AA4" w14:textId="4A655B42" w:rsidR="00665BE2" w:rsidRPr="005A58C0" w:rsidRDefault="00665BE2" w:rsidP="001028F0">
            <w:pPr>
              <w:pStyle w:val="Akapitzlist"/>
              <w:widowControl w:val="0"/>
              <w:numPr>
                <w:ilvl w:val="0"/>
                <w:numId w:val="18"/>
              </w:numPr>
              <w:ind w:left="316" w:firstLine="0"/>
              <w:jc w:val="both"/>
            </w:pPr>
            <w:r w:rsidRPr="005A58C0">
              <w:t>Uchwała Nr XV/216/VIII/2019 Rady Miasta Poznania z dnia 09-07-2019 w sprawie miejscowego planu zagospodarowania przestrzennego "Łacina - Południe - część B" w Poznaniu.</w:t>
            </w:r>
          </w:p>
          <w:p w14:paraId="383DA629" w14:textId="77777777" w:rsidR="00665BE2" w:rsidRPr="005A58C0" w:rsidRDefault="00665BE2" w:rsidP="00665BE2">
            <w:pPr>
              <w:pStyle w:val="Akapitzlist"/>
            </w:pPr>
          </w:p>
          <w:p w14:paraId="7546CD44" w14:textId="766AC873" w:rsidR="00665BE2" w:rsidRPr="005A58C0" w:rsidRDefault="00665BE2" w:rsidP="001028F0">
            <w:pPr>
              <w:pStyle w:val="Akapitzlist"/>
              <w:widowControl w:val="0"/>
              <w:numPr>
                <w:ilvl w:val="0"/>
                <w:numId w:val="18"/>
              </w:numPr>
              <w:ind w:left="316" w:firstLine="0"/>
              <w:jc w:val="both"/>
            </w:pPr>
            <w:r w:rsidRPr="005A58C0">
              <w:t>Uchwała Nr LVIII/757/V/2009 Rady Miasta Poznania z dnia 7 lipca 2009r. w/s uchwalenia miejscowego planu zagospodarowania przestrzennego "Rataje - Łacina" część B w Poznaniu</w:t>
            </w:r>
          </w:p>
          <w:p w14:paraId="6DCEEC5D" w14:textId="77777777" w:rsidR="00665BE2" w:rsidRPr="005A58C0" w:rsidRDefault="00665BE2" w:rsidP="00665BE2">
            <w:pPr>
              <w:pStyle w:val="Akapitzlist"/>
            </w:pPr>
          </w:p>
          <w:p w14:paraId="4D0256F6" w14:textId="6BFE639F" w:rsidR="00665BE2" w:rsidRPr="005A58C0" w:rsidRDefault="00665BE2" w:rsidP="001028F0">
            <w:pPr>
              <w:pStyle w:val="Akapitzlist"/>
              <w:widowControl w:val="0"/>
              <w:numPr>
                <w:ilvl w:val="0"/>
                <w:numId w:val="18"/>
              </w:numPr>
              <w:ind w:left="316" w:firstLine="0"/>
              <w:jc w:val="both"/>
            </w:pPr>
            <w:r w:rsidRPr="005A58C0">
              <w:t>Uchwała Nr XXI/368/VIII/2019 Rady Miasta Poznania z dnia 17-12-2019 w sprawie miejscowego planu zagospodarowania przestrzennego "W rejonie mostu Królowej Jadwigi w paśmie rzeki Warty" w Poznaniu.</w:t>
            </w:r>
          </w:p>
          <w:p w14:paraId="3E550285" w14:textId="77777777" w:rsidR="00665BE2" w:rsidRPr="005A58C0" w:rsidRDefault="00665BE2" w:rsidP="00665BE2">
            <w:pPr>
              <w:pStyle w:val="Akapitzlist"/>
            </w:pPr>
          </w:p>
          <w:p w14:paraId="3CB9C8B1" w14:textId="246731CF" w:rsidR="00665BE2" w:rsidRPr="005A58C0" w:rsidRDefault="00225BD1" w:rsidP="001028F0">
            <w:pPr>
              <w:pStyle w:val="Akapitzlist"/>
              <w:widowControl w:val="0"/>
              <w:numPr>
                <w:ilvl w:val="0"/>
                <w:numId w:val="18"/>
              </w:numPr>
              <w:ind w:left="316" w:firstLine="0"/>
              <w:jc w:val="both"/>
            </w:pPr>
            <w:r w:rsidRPr="005A58C0">
              <w:t xml:space="preserve">Uchwała Nr XXIII/428/VIII/2020 Rady Miasta Poznania z dnia 25-02-2020 w sprawie miejscowego planu zagospodarowania przestrzennego "W rejonie ulicy </w:t>
            </w:r>
            <w:proofErr w:type="spellStart"/>
            <w:r w:rsidRPr="005A58C0">
              <w:t>Berdychowo</w:t>
            </w:r>
            <w:proofErr w:type="spellEnd"/>
            <w:r w:rsidRPr="005A58C0">
              <w:t>" w Poznaniu.</w:t>
            </w:r>
          </w:p>
          <w:p w14:paraId="028F8CF4" w14:textId="77777777" w:rsidR="00225BD1" w:rsidRPr="005A58C0" w:rsidRDefault="00225BD1" w:rsidP="00225BD1">
            <w:pPr>
              <w:pStyle w:val="Akapitzlist"/>
            </w:pPr>
          </w:p>
          <w:p w14:paraId="65658441" w14:textId="2A9CDBF8" w:rsidR="00225BD1" w:rsidRPr="005A58C0" w:rsidRDefault="00225BD1" w:rsidP="001028F0">
            <w:pPr>
              <w:pStyle w:val="Akapitzlist"/>
              <w:widowControl w:val="0"/>
              <w:numPr>
                <w:ilvl w:val="0"/>
                <w:numId w:val="18"/>
              </w:numPr>
              <w:ind w:left="316" w:firstLine="0"/>
              <w:jc w:val="both"/>
            </w:pPr>
            <w:r w:rsidRPr="005A58C0">
              <w:t>Uchwała Nr XXVIII/503/VIII/2020 Rady Miasta Poznania z dnia 19-05-2020 w sprawie miejscowego planu zagospodarowania przestrzennego "W rejonie Zagórza" w Poznaniu.</w:t>
            </w:r>
          </w:p>
          <w:p w14:paraId="5A266A36" w14:textId="77777777" w:rsidR="00D9523F" w:rsidRPr="005A58C0" w:rsidRDefault="00D9523F" w:rsidP="00B2226D">
            <w:pPr>
              <w:pStyle w:val="Tytu"/>
              <w:widowControl w:val="0"/>
              <w:spacing w:line="240" w:lineRule="auto"/>
              <w:ind w:left="316"/>
              <w:jc w:val="both"/>
              <w:rPr>
                <w:b w:val="0"/>
                <w:bCs w:val="0"/>
                <w:sz w:val="20"/>
                <w:szCs w:val="20"/>
              </w:rPr>
            </w:pPr>
          </w:p>
          <w:p w14:paraId="65E74DC2" w14:textId="77777777" w:rsidR="00D178EB" w:rsidRPr="005A58C0" w:rsidRDefault="00D178EB" w:rsidP="00B2226D">
            <w:pPr>
              <w:pStyle w:val="Tytu"/>
              <w:widowControl w:val="0"/>
              <w:spacing w:line="240" w:lineRule="auto"/>
              <w:ind w:left="316"/>
              <w:jc w:val="left"/>
              <w:rPr>
                <w:b w:val="0"/>
                <w:bCs w:val="0"/>
                <w:sz w:val="20"/>
                <w:szCs w:val="20"/>
              </w:rPr>
            </w:pPr>
          </w:p>
          <w:p w14:paraId="5A991C6C" w14:textId="6A04C9A3" w:rsidR="00C305F6" w:rsidRPr="005A58C0" w:rsidRDefault="00C305F6" w:rsidP="00B2226D">
            <w:pPr>
              <w:pStyle w:val="Tytu"/>
              <w:widowControl w:val="0"/>
              <w:ind w:left="316"/>
              <w:jc w:val="left"/>
              <w:rPr>
                <w:b w:val="0"/>
                <w:bCs w:val="0"/>
                <w:sz w:val="20"/>
                <w:szCs w:val="20"/>
              </w:rPr>
            </w:pPr>
            <w:r w:rsidRPr="005A58C0">
              <w:rPr>
                <w:b w:val="0"/>
                <w:bCs w:val="0"/>
                <w:sz w:val="20"/>
                <w:szCs w:val="20"/>
              </w:rPr>
              <w:t xml:space="preserve">                              </w:t>
            </w:r>
          </w:p>
          <w:p w14:paraId="7B8AFCD5" w14:textId="796944F4" w:rsidR="001B2EF6" w:rsidRPr="005A58C0" w:rsidRDefault="001B2EF6" w:rsidP="00B2226D">
            <w:pPr>
              <w:spacing w:line="100" w:lineRule="atLeast"/>
              <w:ind w:left="316"/>
              <w:jc w:val="both"/>
              <w:rPr>
                <w:sz w:val="18"/>
                <w:szCs w:val="18"/>
              </w:rPr>
            </w:pPr>
          </w:p>
        </w:tc>
      </w:tr>
      <w:tr w:rsidR="001B2EF6" w:rsidRPr="009C1781" w14:paraId="1ACA6F9E" w14:textId="77777777" w:rsidTr="00151CA5">
        <w:trPr>
          <w:trHeight w:val="71"/>
        </w:trPr>
        <w:tc>
          <w:tcPr>
            <w:tcW w:w="0" w:type="auto"/>
            <w:vMerge/>
            <w:tcBorders>
              <w:top w:val="nil"/>
              <w:left w:val="single" w:sz="8" w:space="0" w:color="auto"/>
              <w:bottom w:val="single" w:sz="8" w:space="0" w:color="auto"/>
              <w:right w:val="single" w:sz="8" w:space="0" w:color="auto"/>
            </w:tcBorders>
            <w:vAlign w:val="center"/>
            <w:hideMark/>
          </w:tcPr>
          <w:p w14:paraId="45D89CFF"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20BBA74"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xml:space="preserve">studium uwarunkowań i kierunków zagospodarowania przestrzennego gminy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D6236C0" w14:textId="602008D8" w:rsidR="003871DA" w:rsidRPr="005A58C0" w:rsidRDefault="003871DA" w:rsidP="000846D0">
            <w:pPr>
              <w:pStyle w:val="Akapitzlist"/>
              <w:numPr>
                <w:ilvl w:val="0"/>
                <w:numId w:val="23"/>
              </w:numPr>
              <w:ind w:left="457" w:hanging="141"/>
              <w:jc w:val="both"/>
              <w:rPr>
                <w:b/>
                <w:bCs/>
                <w:sz w:val="18"/>
                <w:szCs w:val="18"/>
              </w:rPr>
            </w:pPr>
            <w:r w:rsidRPr="005A58C0">
              <w:t xml:space="preserve">Studium uwarunkowań i kierunków zagospodarowania przestrzennego miasta Poznania - </w:t>
            </w:r>
            <w:r w:rsidRPr="005A58C0">
              <w:rPr>
                <w:rStyle w:val="Pogrubienie"/>
                <w:b w:val="0"/>
                <w:bCs w:val="0"/>
                <w:shd w:val="clear" w:color="auto" w:fill="FFFFFF"/>
              </w:rPr>
              <w:t>Uchwała Nr LXXXVIII/1670/VIII/2023 Rady Miasta Poznania z dnia 11 lipca 2023 r.</w:t>
            </w:r>
          </w:p>
          <w:p w14:paraId="0C880F5C" w14:textId="77777777" w:rsidR="008734EE" w:rsidRPr="005A58C0" w:rsidRDefault="008734EE" w:rsidP="008734EE">
            <w:pPr>
              <w:pStyle w:val="Akapitzlist"/>
              <w:jc w:val="both"/>
              <w:rPr>
                <w:sz w:val="18"/>
                <w:szCs w:val="18"/>
              </w:rPr>
            </w:pPr>
          </w:p>
          <w:p w14:paraId="49C419E6" w14:textId="77777777" w:rsidR="000819C4" w:rsidRPr="005A58C0" w:rsidRDefault="000819C4" w:rsidP="008734EE">
            <w:pPr>
              <w:jc w:val="both"/>
              <w:rPr>
                <w:sz w:val="18"/>
                <w:szCs w:val="18"/>
              </w:rPr>
            </w:pPr>
          </w:p>
          <w:p w14:paraId="36FCC97C" w14:textId="5CE965DA" w:rsidR="001B2EF6" w:rsidRPr="005A58C0" w:rsidRDefault="001B2EF6" w:rsidP="008734EE">
            <w:pPr>
              <w:spacing w:after="0" w:line="240" w:lineRule="auto"/>
              <w:jc w:val="both"/>
              <w:rPr>
                <w:rFonts w:ascii="Times New Roman" w:eastAsia="Times New Roman" w:hAnsi="Times New Roman" w:cs="Times New Roman"/>
                <w:sz w:val="20"/>
                <w:szCs w:val="20"/>
                <w:lang w:eastAsia="pl-PL"/>
              </w:rPr>
            </w:pPr>
          </w:p>
        </w:tc>
      </w:tr>
      <w:tr w:rsidR="001B2EF6" w:rsidRPr="009C1781" w14:paraId="304D4BFE" w14:textId="77777777" w:rsidTr="00151CA5">
        <w:trPr>
          <w:trHeight w:val="71"/>
        </w:trPr>
        <w:tc>
          <w:tcPr>
            <w:tcW w:w="0" w:type="auto"/>
            <w:vMerge/>
            <w:tcBorders>
              <w:top w:val="nil"/>
              <w:left w:val="single" w:sz="8" w:space="0" w:color="auto"/>
              <w:bottom w:val="single" w:sz="8" w:space="0" w:color="auto"/>
              <w:right w:val="single" w:sz="8" w:space="0" w:color="auto"/>
            </w:tcBorders>
            <w:vAlign w:val="center"/>
            <w:hideMark/>
          </w:tcPr>
          <w:p w14:paraId="6328C482"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E078D57" w14:textId="77777777" w:rsidR="001B2EF6" w:rsidRPr="009C1781" w:rsidRDefault="001B2EF6" w:rsidP="001B2EF6">
            <w:pPr>
              <w:spacing w:before="100" w:beforeAutospacing="1" w:after="100" w:afterAutospacing="1" w:line="240" w:lineRule="auto"/>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decyzjach o warunkach zabudowy i zagospodarowania terenu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CB9AEA6" w14:textId="4578A883" w:rsidR="006E646E" w:rsidRPr="00485EBB" w:rsidRDefault="00C52F95" w:rsidP="00804D20">
            <w:pPr>
              <w:pStyle w:val="Akapitzlist"/>
              <w:numPr>
                <w:ilvl w:val="0"/>
                <w:numId w:val="20"/>
              </w:numPr>
              <w:autoSpaceDN w:val="0"/>
              <w:spacing w:before="144" w:after="144"/>
              <w:ind w:left="457" w:hanging="283"/>
              <w:jc w:val="both"/>
              <w:rPr>
                <w:lang w:eastAsia="pl-PL"/>
              </w:rPr>
            </w:pPr>
            <w:r w:rsidRPr="00485EBB">
              <w:t>Decyzja ustalająca warunki zabudowy z dnia 2023-01-11. Ustalenie warunków zabudowy dla nadbudowy budynku wielorodzinnego. Nieruchomość: ulica Strzelecka 34 Obr. Poznań Ark. 37 Dz. 5,; ulica Łąkowa 21 Obr. Poznań Ark. 37 Dz. 5,</w:t>
            </w:r>
          </w:p>
          <w:p w14:paraId="006E5D4A" w14:textId="5E497DB0" w:rsidR="00C52F95" w:rsidRPr="00485EBB" w:rsidRDefault="0053492A" w:rsidP="00804D20">
            <w:pPr>
              <w:pStyle w:val="Akapitzlist"/>
              <w:numPr>
                <w:ilvl w:val="0"/>
                <w:numId w:val="20"/>
              </w:numPr>
              <w:autoSpaceDN w:val="0"/>
              <w:spacing w:before="144" w:after="144"/>
              <w:ind w:left="457" w:hanging="283"/>
              <w:jc w:val="both"/>
              <w:rPr>
                <w:lang w:eastAsia="pl-PL"/>
              </w:rPr>
            </w:pPr>
            <w:r w:rsidRPr="00485EBB">
              <w:t>Decyzja ustalająca warunki zabudowy z dnia 2023-05-10. Ustalenie warunków zabudowy dla rozbudowy i przebudowy budynku handlowego wraz z</w:t>
            </w:r>
            <w:r w:rsidR="00BD3866" w:rsidRPr="00485EBB">
              <w:t xml:space="preserve"> </w:t>
            </w:r>
            <w:r w:rsidRPr="00485EBB">
              <w:t>budową rampy</w:t>
            </w:r>
            <w:r w:rsidR="00BD3866" w:rsidRPr="00485EBB">
              <w:t xml:space="preserve">. Wnioskodawca: Jeronimo </w:t>
            </w:r>
            <w:proofErr w:type="spellStart"/>
            <w:r w:rsidR="00BD3866" w:rsidRPr="00485EBB">
              <w:t>Martins</w:t>
            </w:r>
            <w:proofErr w:type="spellEnd"/>
            <w:r w:rsidR="00BD3866" w:rsidRPr="00485EBB">
              <w:t xml:space="preserve"> Polska S.A ulica Żniwna 5 62-025 Poznań. Nieruchomość: osiedle Rzeczypospolitej 42 Obr. Rataje Ark. 14 Dz. 1/32.</w:t>
            </w:r>
          </w:p>
          <w:p w14:paraId="58916A4E" w14:textId="7C56B658" w:rsidR="00BD3866" w:rsidRPr="00485EBB" w:rsidRDefault="00BD3866" w:rsidP="00804D20">
            <w:pPr>
              <w:pStyle w:val="Akapitzlist"/>
              <w:numPr>
                <w:ilvl w:val="0"/>
                <w:numId w:val="20"/>
              </w:numPr>
              <w:autoSpaceDN w:val="0"/>
              <w:spacing w:before="144" w:after="144"/>
              <w:ind w:left="457" w:hanging="283"/>
              <w:jc w:val="both"/>
              <w:rPr>
                <w:lang w:eastAsia="pl-PL"/>
              </w:rPr>
            </w:pPr>
            <w:r w:rsidRPr="00485EBB">
              <w:t xml:space="preserve">Decyzja nr 169 ustalająca warunki zabudowy z dnia 2023-05-11. Ustalenie warunków zabudowy dla budowy hali produkcyjnej Wnioskodawca: PROMAG S.A. ulica Romana Maya 11 61-371 Poznań. Nieruchomość: ulica Romana </w:t>
            </w:r>
            <w:r w:rsidRPr="00485EBB">
              <w:lastRenderedPageBreak/>
              <w:t>Maya 1 Obr. Rataje Ark. 18 Dz. 7/15, 7/16, 7/17;</w:t>
            </w:r>
          </w:p>
          <w:p w14:paraId="0AF22CCE" w14:textId="57209EB3" w:rsidR="00BD3866" w:rsidRPr="00485EBB" w:rsidRDefault="00BD3866" w:rsidP="00804D20">
            <w:pPr>
              <w:pStyle w:val="Akapitzlist"/>
              <w:numPr>
                <w:ilvl w:val="0"/>
                <w:numId w:val="20"/>
              </w:numPr>
              <w:autoSpaceDN w:val="0"/>
              <w:spacing w:before="144" w:after="144"/>
              <w:ind w:left="457" w:hanging="283"/>
              <w:jc w:val="both"/>
              <w:rPr>
                <w:lang w:eastAsia="pl-PL"/>
              </w:rPr>
            </w:pPr>
            <w:r w:rsidRPr="00485EBB">
              <w:t>Decyzja nr 170 ustalająca warunki zabudowy z dnia 2023-05-11. Ustalenie warunków zabudowy dla budowy hali produkcyjnej Wnioskodawca: PROMAG S.A. ulica Romana Maya 11 61-371 Poznań. Nieruchomość: ulica Romana Maya 1 Obr. Rataje Ark. 18 Dz. 7/15, 7/16, 7/17;</w:t>
            </w:r>
          </w:p>
          <w:p w14:paraId="38F2A354" w14:textId="54A39A65" w:rsidR="0048157E" w:rsidRPr="00485EBB" w:rsidRDefault="00C314BF" w:rsidP="0021346A">
            <w:pPr>
              <w:pStyle w:val="Akapitzlist"/>
              <w:widowControl w:val="0"/>
              <w:numPr>
                <w:ilvl w:val="0"/>
                <w:numId w:val="20"/>
              </w:numPr>
              <w:tabs>
                <w:tab w:val="left" w:pos="360"/>
                <w:tab w:val="left" w:pos="720"/>
                <w:tab w:val="left" w:pos="1080"/>
              </w:tabs>
              <w:autoSpaceDE w:val="0"/>
              <w:autoSpaceDN w:val="0"/>
              <w:adjustRightInd w:val="0"/>
              <w:ind w:left="457" w:hanging="283"/>
              <w:jc w:val="both"/>
            </w:pPr>
            <w:r w:rsidRPr="00485EBB">
              <w:t xml:space="preserve">Decyzja ustalająca warunki zabudowy z dnia 2023-09-01. Ustalenie warunków zabudowy dla budowy budynku mieszkalnego z lokalami usługowymi, garażem podziemnym zagospodarowaniem terenu oraz niezbędną. Wnioskodawca: MPP </w:t>
            </w:r>
            <w:proofErr w:type="spellStart"/>
            <w:r w:rsidRPr="00485EBB">
              <w:t>sp.z</w:t>
            </w:r>
            <w:proofErr w:type="spellEnd"/>
            <w:r w:rsidRPr="00485EBB">
              <w:t xml:space="preserve"> o.o. sp.k. Podwale 61/1 50-010 Wrocław. Nieruchomość: ulica Ludwika Zamenhofa Obr. Rataje Ark. 15 Dz. 8/3,10/3,13/1,17/4</w:t>
            </w:r>
          </w:p>
          <w:p w14:paraId="21EB5D2C" w14:textId="22ED4890" w:rsidR="006E646E" w:rsidRPr="00485EBB" w:rsidRDefault="001347BF" w:rsidP="00804D20">
            <w:pPr>
              <w:pStyle w:val="Akapitzlist"/>
              <w:numPr>
                <w:ilvl w:val="0"/>
                <w:numId w:val="20"/>
              </w:numPr>
              <w:autoSpaceDN w:val="0"/>
              <w:spacing w:before="144" w:after="144"/>
              <w:ind w:left="457" w:hanging="283"/>
              <w:jc w:val="both"/>
              <w:rPr>
                <w:lang w:eastAsia="pl-PL"/>
              </w:rPr>
            </w:pPr>
            <w:r w:rsidRPr="00485EBB">
              <w:t xml:space="preserve">Decyzja ustalająca warunki zabudowy z dnia 2023-10-18. Ustalenie warunków zabudowy dla budowy budynku wielorodzinnego z usługami i parkingiem podziemnym. Wnioskodawca: </w:t>
            </w:r>
            <w:proofErr w:type="spellStart"/>
            <w:r w:rsidRPr="00485EBB">
              <w:t>Constructa</w:t>
            </w:r>
            <w:proofErr w:type="spellEnd"/>
            <w:r w:rsidRPr="00485EBB">
              <w:t xml:space="preserve"> Plus Sp. z </w:t>
            </w:r>
            <w:proofErr w:type="spellStart"/>
            <w:r w:rsidRPr="00485EBB">
              <w:t>o.o</w:t>
            </w:r>
            <w:proofErr w:type="spellEnd"/>
            <w:r w:rsidRPr="00485EBB">
              <w:t xml:space="preserve">, </w:t>
            </w:r>
            <w:proofErr w:type="spellStart"/>
            <w:r w:rsidRPr="00485EBB">
              <w:t>Sp.K</w:t>
            </w:r>
            <w:proofErr w:type="spellEnd"/>
            <w:r w:rsidRPr="00485EBB">
              <w:t xml:space="preserve"> ulica Małopolska 12/1 60-616 Poznań. Nieruchomość: ulica Wierzbowa 3/4 Obr. Poznań Ark. 31 Dz. 20.</w:t>
            </w:r>
          </w:p>
          <w:p w14:paraId="055CEC0B" w14:textId="404038DA" w:rsidR="006971B7" w:rsidRPr="00485EBB" w:rsidRDefault="006968AB" w:rsidP="00804D20">
            <w:pPr>
              <w:autoSpaceDN w:val="0"/>
              <w:spacing w:before="144" w:after="144"/>
              <w:ind w:left="174"/>
              <w:jc w:val="both"/>
              <w:rPr>
                <w:rFonts w:ascii="Times New Roman" w:hAnsi="Times New Roman" w:cs="Times New Roman"/>
                <w:b/>
                <w:bCs/>
                <w:sz w:val="16"/>
                <w:szCs w:val="16"/>
                <w:lang w:eastAsia="pl-PL"/>
              </w:rPr>
            </w:pPr>
            <w:r w:rsidRPr="00485EBB">
              <w:rPr>
                <w:rFonts w:ascii="Times New Roman" w:hAnsi="Times New Roman" w:cs="Times New Roman"/>
                <w:sz w:val="18"/>
                <w:szCs w:val="18"/>
                <w:lang w:eastAsia="pl-PL"/>
              </w:rPr>
              <w:t>Informacje dotyczące</w:t>
            </w:r>
            <w:r w:rsidR="006971B7" w:rsidRPr="00485EBB">
              <w:rPr>
                <w:rFonts w:ascii="Times New Roman" w:hAnsi="Times New Roman" w:cs="Times New Roman"/>
                <w:sz w:val="18"/>
                <w:szCs w:val="18"/>
                <w:lang w:eastAsia="pl-PL"/>
              </w:rPr>
              <w:t xml:space="preserve"> wszystkich przewidzianych inwestycjach są udostępnione w Biuletynie Informacji Publicznej Urzędu Miasta Poznania pod adresem internetowym:</w:t>
            </w:r>
            <w:r w:rsidR="00804D20" w:rsidRPr="00485EBB">
              <w:rPr>
                <w:rFonts w:ascii="Times New Roman" w:hAnsi="Times New Roman" w:cs="Times New Roman"/>
                <w:sz w:val="18"/>
                <w:szCs w:val="18"/>
                <w:lang w:eastAsia="pl-PL"/>
              </w:rPr>
              <w:t xml:space="preserve"> </w:t>
            </w:r>
            <w:r w:rsidR="006971B7" w:rsidRPr="00485EBB">
              <w:rPr>
                <w:rFonts w:ascii="Times New Roman" w:hAnsi="Times New Roman" w:cs="Times New Roman"/>
                <w:b/>
                <w:bCs/>
                <w:sz w:val="14"/>
                <w:szCs w:val="14"/>
                <w:u w:val="single"/>
                <w:lang w:eastAsia="pl-PL"/>
              </w:rPr>
              <w:t>http://bip.poznan.pl/bip/biblioteka-dokumentow.lib.1001</w:t>
            </w:r>
            <w:r w:rsidR="006971B7" w:rsidRPr="00485EBB">
              <w:rPr>
                <w:rFonts w:ascii="Times New Roman" w:hAnsi="Times New Roman" w:cs="Times New Roman"/>
                <w:b/>
                <w:bCs/>
                <w:sz w:val="14"/>
                <w:szCs w:val="14"/>
                <w:lang w:eastAsia="pl-PL"/>
              </w:rPr>
              <w:t>/</w:t>
            </w:r>
          </w:p>
          <w:p w14:paraId="72C5FB79" w14:textId="542EF3EB" w:rsidR="006E646E" w:rsidRPr="00485EBB" w:rsidRDefault="006E646E" w:rsidP="00804D20">
            <w:pPr>
              <w:widowControl w:val="0"/>
              <w:tabs>
                <w:tab w:val="left" w:pos="360"/>
                <w:tab w:val="left" w:pos="720"/>
                <w:tab w:val="left" w:pos="1080"/>
                <w:tab w:val="left" w:pos="1440"/>
                <w:tab w:val="left" w:pos="1800"/>
              </w:tabs>
              <w:autoSpaceDE w:val="0"/>
              <w:autoSpaceDN w:val="0"/>
              <w:adjustRightInd w:val="0"/>
              <w:spacing w:after="0" w:line="240" w:lineRule="auto"/>
              <w:ind w:left="457" w:hanging="283"/>
              <w:jc w:val="center"/>
              <w:rPr>
                <w:lang w:eastAsia="pl-PL"/>
              </w:rPr>
            </w:pPr>
          </w:p>
        </w:tc>
      </w:tr>
      <w:tr w:rsidR="001B2EF6" w:rsidRPr="009C1781" w14:paraId="79F9A430" w14:textId="77777777" w:rsidTr="00151CA5">
        <w:trPr>
          <w:trHeight w:val="71"/>
        </w:trPr>
        <w:tc>
          <w:tcPr>
            <w:tcW w:w="0" w:type="auto"/>
            <w:vMerge/>
            <w:tcBorders>
              <w:top w:val="nil"/>
              <w:left w:val="single" w:sz="8" w:space="0" w:color="auto"/>
              <w:bottom w:val="single" w:sz="8" w:space="0" w:color="auto"/>
              <w:right w:val="single" w:sz="8" w:space="0" w:color="auto"/>
            </w:tcBorders>
            <w:vAlign w:val="center"/>
            <w:hideMark/>
          </w:tcPr>
          <w:p w14:paraId="20690CA4"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7916C059"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decyzjach o środowiskowych uwarunkowaniach</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BFB574C" w14:textId="77777777" w:rsidR="001B2EF6" w:rsidRPr="00485EBB" w:rsidRDefault="00C92D45" w:rsidP="00B34394">
            <w:pPr>
              <w:pStyle w:val="Akapitzlist"/>
              <w:numPr>
                <w:ilvl w:val="0"/>
                <w:numId w:val="27"/>
              </w:numPr>
              <w:autoSpaceDN w:val="0"/>
              <w:spacing w:before="144" w:after="144"/>
              <w:jc w:val="both"/>
              <w:rPr>
                <w:lang w:eastAsia="pl-PL"/>
              </w:rPr>
            </w:pPr>
            <w:r w:rsidRPr="00485EBB">
              <w:rPr>
                <w:lang w:eastAsia="pl-PL"/>
              </w:rPr>
              <w:t xml:space="preserve">Decyzja z dnia 23.11.2009r, nr sprawy OS.V/7684-304/09. </w:t>
            </w:r>
            <w:r w:rsidR="00B34394" w:rsidRPr="00485EBB">
              <w:rPr>
                <w:lang w:eastAsia="pl-PL"/>
              </w:rPr>
              <w:t xml:space="preserve">Decyzja o środowiskowych uwarunkowaniach dla przedsięwzięcia polegającego na budowie kanalizacji sanitarnej wraz z niezbędną infrastrukturą na terenie Szczepankowa II, </w:t>
            </w:r>
            <w:proofErr w:type="spellStart"/>
            <w:r w:rsidR="00B34394" w:rsidRPr="00485EBB">
              <w:rPr>
                <w:lang w:eastAsia="pl-PL"/>
              </w:rPr>
              <w:t>m.i</w:t>
            </w:r>
            <w:proofErr w:type="spellEnd"/>
            <w:r w:rsidR="00B34394" w:rsidRPr="00485EBB">
              <w:rPr>
                <w:lang w:eastAsia="pl-PL"/>
              </w:rPr>
              <w:t xml:space="preserve">. działki nr 2/4, 5/4, </w:t>
            </w:r>
            <w:r w:rsidRPr="00485EBB">
              <w:rPr>
                <w:lang w:eastAsia="pl-PL"/>
              </w:rPr>
              <w:t xml:space="preserve">arkusz 10, obręb Spławie, nr 45, 44, arkusz 38, obręb </w:t>
            </w:r>
            <w:proofErr w:type="spellStart"/>
            <w:r w:rsidRPr="00485EBB">
              <w:rPr>
                <w:lang w:eastAsia="pl-PL"/>
              </w:rPr>
              <w:t>Kobylepole</w:t>
            </w:r>
            <w:proofErr w:type="spellEnd"/>
            <w:r w:rsidRPr="00485EBB">
              <w:rPr>
                <w:lang w:eastAsia="pl-PL"/>
              </w:rPr>
              <w:t xml:space="preserve">. </w:t>
            </w:r>
          </w:p>
          <w:p w14:paraId="05CEADAA" w14:textId="77777777" w:rsidR="00C92D45" w:rsidRPr="00485EBB" w:rsidRDefault="00C92D45" w:rsidP="00B34394">
            <w:pPr>
              <w:pStyle w:val="Akapitzlist"/>
              <w:numPr>
                <w:ilvl w:val="0"/>
                <w:numId w:val="27"/>
              </w:numPr>
              <w:autoSpaceDN w:val="0"/>
              <w:spacing w:before="144" w:after="144"/>
              <w:jc w:val="both"/>
              <w:rPr>
                <w:lang w:eastAsia="pl-PL"/>
              </w:rPr>
            </w:pPr>
            <w:r w:rsidRPr="00485EBB">
              <w:rPr>
                <w:lang w:eastAsia="pl-PL"/>
              </w:rPr>
              <w:t xml:space="preserve">Decyzja z dnia 22.09.2010r, nr sprawy OS.V/7684-241/10. Decyzja odmawiająca przedłużenia ważności decyzji o środowiskowych uwarunkowaniach dla przedsięwzięcia polegającego na budowie kanalizacji sanitarnej podłączonej do istniejącego kanału przy ul. Nad Pokrzywą. </w:t>
            </w:r>
          </w:p>
          <w:p w14:paraId="78DE0F30" w14:textId="38E6C92F" w:rsidR="00C92D45" w:rsidRPr="00485EBB" w:rsidRDefault="00C92D45" w:rsidP="00B34394">
            <w:pPr>
              <w:pStyle w:val="Akapitzlist"/>
              <w:numPr>
                <w:ilvl w:val="0"/>
                <w:numId w:val="27"/>
              </w:numPr>
              <w:autoSpaceDN w:val="0"/>
              <w:spacing w:before="144" w:after="144"/>
              <w:jc w:val="both"/>
              <w:rPr>
                <w:lang w:eastAsia="pl-PL"/>
              </w:rPr>
            </w:pPr>
            <w:r w:rsidRPr="00485EBB">
              <w:rPr>
                <w:lang w:eastAsia="pl-PL"/>
              </w:rPr>
              <w:t xml:space="preserve">Decyzja z dnia 10.02.2010r, nr sprawy OS.V/7684-425/09. Decyzja o środowiskowych uwarunkowaniach </w:t>
            </w:r>
            <w:r w:rsidRPr="00485EBB">
              <w:rPr>
                <w:lang w:eastAsia="pl-PL"/>
              </w:rPr>
              <w:lastRenderedPageBreak/>
              <w:t xml:space="preserve">dla przedsięwzięcia polegającego na przebudowie ulicy Poznańskie Sady, Uprawnej oraz skrzyżowaniu ulic; </w:t>
            </w:r>
            <w:proofErr w:type="spellStart"/>
            <w:r w:rsidRPr="00485EBB">
              <w:rPr>
                <w:lang w:eastAsia="pl-PL"/>
              </w:rPr>
              <w:t>Rodawskiej</w:t>
            </w:r>
            <w:proofErr w:type="spellEnd"/>
            <w:r w:rsidRPr="00485EBB">
              <w:rPr>
                <w:lang w:eastAsia="pl-PL"/>
              </w:rPr>
              <w:t xml:space="preserve">, Skibowej, Glebowej, Uprawnej </w:t>
            </w:r>
            <w:proofErr w:type="spellStart"/>
            <w:r w:rsidRPr="00485EBB">
              <w:rPr>
                <w:lang w:eastAsia="pl-PL"/>
              </w:rPr>
              <w:t>m.i</w:t>
            </w:r>
            <w:proofErr w:type="spellEnd"/>
            <w:r w:rsidRPr="00485EBB">
              <w:rPr>
                <w:lang w:eastAsia="pl-PL"/>
              </w:rPr>
              <w:t xml:space="preserve"> działki nr 12/15, 15/1, 19, arkusz 13, obręb Spławie. </w:t>
            </w:r>
          </w:p>
        </w:tc>
      </w:tr>
      <w:tr w:rsidR="001B2EF6" w:rsidRPr="009C1781" w14:paraId="36B24257" w14:textId="77777777" w:rsidTr="00151CA5">
        <w:trPr>
          <w:trHeight w:val="71"/>
        </w:trPr>
        <w:tc>
          <w:tcPr>
            <w:tcW w:w="0" w:type="auto"/>
            <w:vMerge/>
            <w:tcBorders>
              <w:top w:val="nil"/>
              <w:left w:val="single" w:sz="8" w:space="0" w:color="auto"/>
              <w:bottom w:val="single" w:sz="8" w:space="0" w:color="auto"/>
              <w:right w:val="single" w:sz="8" w:space="0" w:color="auto"/>
            </w:tcBorders>
            <w:vAlign w:val="center"/>
            <w:hideMark/>
          </w:tcPr>
          <w:p w14:paraId="791CBA19"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5E1C4A3D"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uchwałach o obszarach ograniczonego użytkowania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48797A9" w14:textId="3F9467D9" w:rsidR="001B2EF6" w:rsidRPr="00485EBB" w:rsidRDefault="00E733A2"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t xml:space="preserve">Zgodnie z zapisami Planu zagospodarowania przestrzennego </w:t>
            </w:r>
            <w:r w:rsidR="00DD6E7C" w:rsidRPr="00485EBB">
              <w:rPr>
                <w:rFonts w:ascii="Times New Roman" w:eastAsia="Times New Roman" w:hAnsi="Times New Roman" w:cs="Times New Roman"/>
                <w:sz w:val="20"/>
                <w:szCs w:val="20"/>
                <w:lang w:eastAsia="pl-PL"/>
              </w:rPr>
              <w:t> </w:t>
            </w:r>
            <w:r w:rsidRPr="00485EBB">
              <w:rPr>
                <w:rFonts w:ascii="Times New Roman" w:eastAsia="Times New Roman" w:hAnsi="Times New Roman" w:cs="Times New Roman"/>
                <w:sz w:val="20"/>
                <w:szCs w:val="20"/>
                <w:lang w:eastAsia="pl-PL"/>
              </w:rPr>
              <w:t>województwa wielkopolskiego wraz z Planem zagospodarowania przestrzennego miejskiego obszaru funkcjonalnego Poznania zatwierdzonym uchwałą nr V/70/19 Sejmiku Województwa Wielkopolskiego z dnia 25.03.2019r teren znajduje się w:</w:t>
            </w:r>
          </w:p>
          <w:p w14:paraId="6BB546F9" w14:textId="77777777" w:rsidR="00E733A2" w:rsidRPr="00485EBB" w:rsidRDefault="00E733A2"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t>- obszarze ograniczenia wysokości zabudowy wokół lotnisk i lotniczych urządzeń naziemnych od lotniska wojskowego „Poznań-Krzesiny” oraz lotniska cywilnego „Poznań-Ławica”;</w:t>
            </w:r>
          </w:p>
          <w:p w14:paraId="748EA96D" w14:textId="77777777" w:rsidR="00E733A2" w:rsidRPr="00485EBB" w:rsidRDefault="00E733A2"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t>- strefie ograniczonego zainwestowania od radaru meteorologicznego w Wysogotowie;</w:t>
            </w:r>
          </w:p>
          <w:p w14:paraId="7E58FB6B" w14:textId="18850810" w:rsidR="00E733A2" w:rsidRPr="00485EBB" w:rsidRDefault="00E733A2" w:rsidP="001B2EF6">
            <w:pPr>
              <w:autoSpaceDN w:val="0"/>
              <w:spacing w:before="144" w:after="144" w:line="240" w:lineRule="auto"/>
              <w:jc w:val="both"/>
              <w:rPr>
                <w:rFonts w:ascii="Times New Roman" w:eastAsia="Times New Roman" w:hAnsi="Times New Roman" w:cs="Times New Roman"/>
                <w:sz w:val="20"/>
                <w:szCs w:val="20"/>
                <w:lang w:eastAsia="pl-PL"/>
              </w:rPr>
            </w:pPr>
          </w:p>
        </w:tc>
      </w:tr>
      <w:tr w:rsidR="001B2EF6" w:rsidRPr="009C1781" w14:paraId="5C5CBC80" w14:textId="77777777" w:rsidTr="00151CA5">
        <w:trPr>
          <w:trHeight w:val="71"/>
        </w:trPr>
        <w:tc>
          <w:tcPr>
            <w:tcW w:w="0" w:type="auto"/>
            <w:vMerge/>
            <w:tcBorders>
              <w:top w:val="nil"/>
              <w:left w:val="single" w:sz="8" w:space="0" w:color="auto"/>
              <w:bottom w:val="single" w:sz="8" w:space="0" w:color="auto"/>
              <w:right w:val="single" w:sz="8" w:space="0" w:color="auto"/>
            </w:tcBorders>
            <w:vAlign w:val="center"/>
            <w:hideMark/>
          </w:tcPr>
          <w:p w14:paraId="6FA7D0DB"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140445D1"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miejscowych planach odbudowy</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2F717E7" w14:textId="593DFD85" w:rsidR="001B2EF6" w:rsidRPr="00485EBB" w:rsidRDefault="00BB4A1B"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t>Nie dotyczy</w:t>
            </w:r>
            <w:r w:rsidR="00DD6E7C" w:rsidRPr="00485EBB">
              <w:rPr>
                <w:rFonts w:ascii="Times New Roman" w:eastAsia="Times New Roman" w:hAnsi="Times New Roman" w:cs="Times New Roman"/>
                <w:sz w:val="20"/>
                <w:szCs w:val="20"/>
                <w:lang w:eastAsia="pl-PL"/>
              </w:rPr>
              <w:t> </w:t>
            </w:r>
          </w:p>
        </w:tc>
      </w:tr>
      <w:tr w:rsidR="001B2EF6" w:rsidRPr="009C1781" w14:paraId="58026CDE" w14:textId="77777777" w:rsidTr="00151CA5">
        <w:trPr>
          <w:trHeight w:val="71"/>
        </w:trPr>
        <w:tc>
          <w:tcPr>
            <w:tcW w:w="0" w:type="auto"/>
            <w:vMerge/>
            <w:tcBorders>
              <w:top w:val="nil"/>
              <w:left w:val="single" w:sz="8" w:space="0" w:color="auto"/>
              <w:bottom w:val="single" w:sz="8" w:space="0" w:color="auto"/>
              <w:right w:val="single" w:sz="8" w:space="0" w:color="auto"/>
            </w:tcBorders>
            <w:vAlign w:val="center"/>
            <w:hideMark/>
          </w:tcPr>
          <w:p w14:paraId="6CB8748F"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7B5C7EAB"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mapach zagrożenia powodziowego i mapach ryzyka powodziowego</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6CCDD9F" w14:textId="77777777" w:rsidR="00042DFA" w:rsidRPr="00485EBB" w:rsidRDefault="00042DFA" w:rsidP="00042DFA">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t>W Planie zagospodarowania przestrzennego województwa wielkopolskiego oraz w Planie zagospodarowania przestrzennego miejskiego obszaru funkcjonalnego Poznania. W północno-wschodniej części tego obszaru występują:</w:t>
            </w:r>
          </w:p>
          <w:p w14:paraId="6C5EDABA" w14:textId="77777777" w:rsidR="00042DFA" w:rsidRPr="00485EBB" w:rsidRDefault="00042DFA" w:rsidP="00042DFA">
            <w:pPr>
              <w:pStyle w:val="Akapitzlist"/>
              <w:numPr>
                <w:ilvl w:val="0"/>
                <w:numId w:val="24"/>
              </w:numPr>
              <w:autoSpaceDN w:val="0"/>
              <w:spacing w:before="144" w:after="144"/>
              <w:ind w:left="316" w:hanging="316"/>
              <w:jc w:val="both"/>
              <w:rPr>
                <w:lang w:eastAsia="pl-PL"/>
              </w:rPr>
            </w:pPr>
            <w:r w:rsidRPr="00485EBB">
              <w:rPr>
                <w:lang w:eastAsia="pl-PL"/>
              </w:rPr>
              <w:t>obszary zagrożenia powodziowego wzdłuż doliny rzeki Warty:</w:t>
            </w:r>
          </w:p>
          <w:p w14:paraId="0DF9F3BB" w14:textId="77777777" w:rsidR="00042DFA" w:rsidRPr="00485EBB" w:rsidRDefault="00042DFA" w:rsidP="00042DFA">
            <w:pPr>
              <w:pStyle w:val="Akapitzlist"/>
              <w:numPr>
                <w:ilvl w:val="0"/>
                <w:numId w:val="25"/>
              </w:numPr>
              <w:autoSpaceDN w:val="0"/>
              <w:spacing w:before="144" w:after="144"/>
              <w:jc w:val="both"/>
              <w:rPr>
                <w:lang w:eastAsia="pl-PL"/>
              </w:rPr>
            </w:pPr>
            <w:r w:rsidRPr="00485EBB">
              <w:rPr>
                <w:lang w:eastAsia="pl-PL"/>
              </w:rPr>
              <w:t>obszary, na których prawdopodobieństwo wystąpienia powodzi jest niskie, czyli raz na 500 lat lub na których istnieje prawdopodobieństwo wystąpienia zdarzenia ekstremalnego;</w:t>
            </w:r>
          </w:p>
          <w:p w14:paraId="4907FE9C" w14:textId="77777777" w:rsidR="00042DFA" w:rsidRPr="00485EBB" w:rsidRDefault="00042DFA" w:rsidP="00042DFA">
            <w:pPr>
              <w:pStyle w:val="Akapitzlist"/>
              <w:numPr>
                <w:ilvl w:val="0"/>
                <w:numId w:val="25"/>
              </w:numPr>
              <w:autoSpaceDN w:val="0"/>
              <w:spacing w:before="144" w:after="144"/>
              <w:jc w:val="both"/>
              <w:rPr>
                <w:lang w:eastAsia="pl-PL"/>
              </w:rPr>
            </w:pPr>
            <w:r w:rsidRPr="00485EBB">
              <w:rPr>
                <w:lang w:eastAsia="pl-PL"/>
              </w:rPr>
              <w:t xml:space="preserve">obszary, na których prawdopodobieństwo wystąpienia powodzi jest średnie, czyli raz na 100 lat, </w:t>
            </w:r>
          </w:p>
          <w:p w14:paraId="52BF90EB" w14:textId="77777777" w:rsidR="00042DFA" w:rsidRPr="00485EBB" w:rsidRDefault="00042DFA" w:rsidP="00042DFA">
            <w:pPr>
              <w:pStyle w:val="Akapitzlist"/>
              <w:numPr>
                <w:ilvl w:val="0"/>
                <w:numId w:val="25"/>
              </w:numPr>
              <w:autoSpaceDN w:val="0"/>
              <w:spacing w:before="144" w:after="144"/>
              <w:jc w:val="both"/>
              <w:rPr>
                <w:lang w:eastAsia="pl-PL"/>
              </w:rPr>
            </w:pPr>
            <w:r w:rsidRPr="00485EBB">
              <w:rPr>
                <w:lang w:eastAsia="pl-PL"/>
              </w:rPr>
              <w:t>obszary, na których prawdopodobieństwo wystąpienia powodzi jest wysokie, czyli raz na 10 lat;</w:t>
            </w:r>
          </w:p>
          <w:p w14:paraId="1A2776F1" w14:textId="77777777" w:rsidR="00042DFA" w:rsidRPr="00485EBB" w:rsidRDefault="00042DFA" w:rsidP="00042DFA">
            <w:pPr>
              <w:pStyle w:val="Akapitzlist"/>
              <w:numPr>
                <w:ilvl w:val="0"/>
                <w:numId w:val="25"/>
              </w:numPr>
              <w:autoSpaceDN w:val="0"/>
              <w:spacing w:before="144" w:after="144"/>
              <w:jc w:val="both"/>
              <w:rPr>
                <w:lang w:eastAsia="pl-PL"/>
              </w:rPr>
            </w:pPr>
            <w:r w:rsidRPr="00485EBB">
              <w:rPr>
                <w:lang w:eastAsia="pl-PL"/>
              </w:rPr>
              <w:t>obszary obejmujące tereny narażone na zalanie w przypadku zniszczenia lub uszkodzenia wału przeciwpowodziowego;</w:t>
            </w:r>
          </w:p>
          <w:p w14:paraId="2674558B" w14:textId="271EE961" w:rsidR="001B2EF6" w:rsidRPr="00485EBB" w:rsidRDefault="00042DFA" w:rsidP="001B2EF6">
            <w:pPr>
              <w:autoSpaceDN w:val="0"/>
              <w:spacing w:before="144" w:after="144" w:line="240" w:lineRule="auto"/>
              <w:jc w:val="both"/>
              <w:rPr>
                <w:rFonts w:ascii="Times New Roman" w:eastAsia="Times New Roman" w:hAnsi="Times New Roman" w:cs="Times New Roman"/>
                <w:sz w:val="20"/>
                <w:szCs w:val="20"/>
                <w:lang w:eastAsia="pl-PL"/>
              </w:rPr>
            </w:pPr>
            <w:r w:rsidRPr="00485EBB">
              <w:rPr>
                <w:rFonts w:ascii="Times New Roman" w:eastAsia="Times New Roman" w:hAnsi="Times New Roman" w:cs="Times New Roman"/>
                <w:sz w:val="20"/>
                <w:szCs w:val="20"/>
                <w:lang w:eastAsia="pl-PL"/>
              </w:rPr>
              <w:lastRenderedPageBreak/>
              <w:t>W/w obszary zostały wskazane w ramach map zagrożenia powodziowego i map ryzyka powodziowego</w:t>
            </w:r>
          </w:p>
        </w:tc>
      </w:tr>
      <w:bookmarkEnd w:id="7"/>
      <w:tr w:rsidR="001B2EF6" w:rsidRPr="009C1781" w14:paraId="3ED6D00B" w14:textId="77777777" w:rsidTr="00E06B7E">
        <w:trPr>
          <w:trHeight w:val="71"/>
        </w:trPr>
        <w:tc>
          <w:tcPr>
            <w:tcW w:w="0" w:type="auto"/>
            <w:vMerge/>
            <w:tcBorders>
              <w:top w:val="nil"/>
              <w:left w:val="single" w:sz="8" w:space="0" w:color="auto"/>
              <w:bottom w:val="single" w:sz="8" w:space="0" w:color="auto"/>
              <w:right w:val="single" w:sz="8" w:space="0" w:color="auto"/>
            </w:tcBorders>
            <w:vAlign w:val="center"/>
            <w:hideMark/>
          </w:tcPr>
          <w:p w14:paraId="70176367"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F71B15" w14:textId="2BBD2D80" w:rsidR="001B2EF6" w:rsidRPr="005A58C0" w:rsidRDefault="001B2EF6" w:rsidP="00481123">
            <w:pPr>
              <w:spacing w:before="100" w:beforeAutospacing="1" w:after="100" w:afterAutospacing="1" w:line="240" w:lineRule="auto"/>
              <w:jc w:val="both"/>
              <w:rPr>
                <w:rFonts w:ascii="Times New Roman" w:eastAsia="Times New Roman" w:hAnsi="Times New Roman" w:cs="Times New Roman"/>
                <w:sz w:val="20"/>
                <w:szCs w:val="20"/>
                <w:lang w:eastAsia="pl-PL"/>
              </w:rPr>
            </w:pPr>
            <w:bookmarkStart w:id="9" w:name="_Hlk148951307"/>
            <w:r w:rsidRPr="005A58C0">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bookmarkEnd w:id="9"/>
          </w:p>
        </w:tc>
      </w:tr>
      <w:tr w:rsidR="001B2EF6" w:rsidRPr="009C1781" w14:paraId="30F6D16B" w14:textId="77777777" w:rsidTr="00151CA5">
        <w:trPr>
          <w:trHeight w:val="84"/>
        </w:trPr>
        <w:tc>
          <w:tcPr>
            <w:tcW w:w="0" w:type="auto"/>
            <w:vMerge/>
            <w:tcBorders>
              <w:top w:val="nil"/>
              <w:left w:val="single" w:sz="8" w:space="0" w:color="auto"/>
              <w:bottom w:val="single" w:sz="8" w:space="0" w:color="auto"/>
              <w:right w:val="single" w:sz="8" w:space="0" w:color="auto"/>
            </w:tcBorders>
            <w:vAlign w:val="center"/>
            <w:hideMark/>
          </w:tcPr>
          <w:p w14:paraId="51F8008D"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bookmarkStart w:id="10" w:name="_Hlk148951334"/>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3239F0CC"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zezwoleniu na realizację inwestycji drogowej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BB27175" w14:textId="77777777" w:rsidR="00727C20" w:rsidRPr="005A58C0" w:rsidRDefault="00727C20"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istniejąca ulica Jana Pawła II (relacji Rondo Śródka – rondo Rataje) oraz ul. Zamenhofa (relacji rondo Rataje – rondo Starołęka), będące ulicami miejskimi w ciągu drogi wojewódzkiej nr 196, z możliwością jej przebudowy i rozbudowy,</w:t>
            </w:r>
          </w:p>
          <w:p w14:paraId="73D79833" w14:textId="00E8638D" w:rsidR="001B2EF6" w:rsidRPr="005A58C0" w:rsidRDefault="00727C20"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 istniejąca ulica Bolesława Krzywoustego będąca ulicą miejską w ciągu drogi wojewódzkiej nr 433, w klasie technicznej nie niższej niż główna </w:t>
            </w:r>
            <w:r w:rsidR="00023C25" w:rsidRPr="005A58C0">
              <w:rPr>
                <w:rFonts w:ascii="Times New Roman" w:eastAsia="Times New Roman" w:hAnsi="Times New Roman" w:cs="Times New Roman"/>
                <w:sz w:val="20"/>
                <w:szCs w:val="20"/>
                <w:lang w:eastAsia="pl-PL"/>
              </w:rPr>
              <w:t>(G), z możliwością jej przebudowy i rozbudowy;</w:t>
            </w:r>
            <w:r w:rsidR="00DD6E7C" w:rsidRPr="005A58C0">
              <w:rPr>
                <w:rFonts w:ascii="Times New Roman" w:eastAsia="Times New Roman" w:hAnsi="Times New Roman" w:cs="Times New Roman"/>
                <w:sz w:val="20"/>
                <w:szCs w:val="20"/>
                <w:lang w:eastAsia="pl-PL"/>
              </w:rPr>
              <w:t> </w:t>
            </w:r>
          </w:p>
        </w:tc>
      </w:tr>
      <w:tr w:rsidR="001B2EF6" w:rsidRPr="009C1781" w14:paraId="00AEB7A7" w14:textId="77777777" w:rsidTr="00481123">
        <w:trPr>
          <w:trHeight w:val="81"/>
        </w:trPr>
        <w:tc>
          <w:tcPr>
            <w:tcW w:w="0" w:type="auto"/>
            <w:vMerge/>
            <w:tcBorders>
              <w:top w:val="nil"/>
              <w:left w:val="single" w:sz="8" w:space="0" w:color="auto"/>
              <w:bottom w:val="single" w:sz="8" w:space="0" w:color="auto"/>
              <w:right w:val="single" w:sz="8" w:space="0" w:color="auto"/>
            </w:tcBorders>
            <w:vAlign w:val="center"/>
            <w:hideMark/>
          </w:tcPr>
          <w:p w14:paraId="07CCB723"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4" w:space="0" w:color="auto"/>
              <w:right w:val="single" w:sz="8" w:space="0" w:color="auto"/>
            </w:tcBorders>
            <w:tcMar>
              <w:top w:w="0" w:type="dxa"/>
              <w:left w:w="108" w:type="dxa"/>
              <w:bottom w:w="0" w:type="dxa"/>
              <w:right w:w="108" w:type="dxa"/>
            </w:tcMar>
            <w:hideMark/>
          </w:tcPr>
          <w:p w14:paraId="539A7535"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ustaleniu lokalizacji linii kolejowej</w:t>
            </w:r>
          </w:p>
        </w:tc>
        <w:tc>
          <w:tcPr>
            <w:tcW w:w="3969" w:type="dxa"/>
            <w:tcBorders>
              <w:top w:val="nil"/>
              <w:left w:val="nil"/>
              <w:bottom w:val="single" w:sz="4" w:space="0" w:color="auto"/>
              <w:right w:val="single" w:sz="8" w:space="0" w:color="auto"/>
            </w:tcBorders>
            <w:tcMar>
              <w:top w:w="0" w:type="dxa"/>
              <w:left w:w="108" w:type="dxa"/>
              <w:bottom w:w="0" w:type="dxa"/>
              <w:right w:w="108" w:type="dxa"/>
            </w:tcMar>
            <w:hideMark/>
          </w:tcPr>
          <w:p w14:paraId="678F54A2" w14:textId="07800F88"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091D89" w:rsidRPr="005A58C0">
              <w:rPr>
                <w:rFonts w:ascii="Times New Roman" w:eastAsia="Times New Roman" w:hAnsi="Times New Roman" w:cs="Times New Roman"/>
                <w:sz w:val="20"/>
                <w:szCs w:val="20"/>
                <w:lang w:eastAsia="pl-PL"/>
              </w:rPr>
              <w:t>Nie dotyczy</w:t>
            </w:r>
            <w:r w:rsidR="00DD6E7C" w:rsidRPr="005A58C0">
              <w:rPr>
                <w:rFonts w:ascii="Times New Roman" w:eastAsia="Times New Roman" w:hAnsi="Times New Roman" w:cs="Times New Roman"/>
                <w:sz w:val="20"/>
                <w:szCs w:val="20"/>
                <w:lang w:eastAsia="pl-PL"/>
              </w:rPr>
              <w:t> </w:t>
            </w:r>
          </w:p>
        </w:tc>
      </w:tr>
      <w:tr w:rsidR="001B2EF6" w:rsidRPr="009C1781" w14:paraId="08789EC6" w14:textId="77777777" w:rsidTr="00481123">
        <w:trPr>
          <w:trHeight w:val="81"/>
        </w:trPr>
        <w:tc>
          <w:tcPr>
            <w:tcW w:w="0" w:type="auto"/>
            <w:vMerge/>
            <w:tcBorders>
              <w:top w:val="nil"/>
              <w:left w:val="single" w:sz="8" w:space="0" w:color="auto"/>
              <w:bottom w:val="single" w:sz="8" w:space="0" w:color="auto"/>
              <w:right w:val="single" w:sz="4" w:space="0" w:color="auto"/>
            </w:tcBorders>
            <w:vAlign w:val="center"/>
            <w:hideMark/>
          </w:tcPr>
          <w:p w14:paraId="49C82B41"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02F3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zezwoleniu na realizację inwestycji w zakresie lotniska użytku publicznego</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F09D3" w14:textId="19C4EF4A"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091D89" w:rsidRPr="005A58C0">
              <w:rPr>
                <w:rFonts w:ascii="Times New Roman" w:eastAsia="Times New Roman" w:hAnsi="Times New Roman" w:cs="Times New Roman"/>
                <w:sz w:val="20"/>
                <w:szCs w:val="20"/>
                <w:lang w:eastAsia="pl-PL"/>
              </w:rPr>
              <w:t>Nie dotyczy</w:t>
            </w:r>
            <w:r w:rsidR="00DD6E7C" w:rsidRPr="005A58C0">
              <w:rPr>
                <w:rFonts w:ascii="Times New Roman" w:eastAsia="Times New Roman" w:hAnsi="Times New Roman" w:cs="Times New Roman"/>
                <w:sz w:val="20"/>
                <w:szCs w:val="20"/>
                <w:lang w:eastAsia="pl-PL"/>
              </w:rPr>
              <w:t> </w:t>
            </w:r>
          </w:p>
        </w:tc>
      </w:tr>
      <w:tr w:rsidR="001B2EF6" w:rsidRPr="009C1781" w14:paraId="404BC747" w14:textId="77777777" w:rsidTr="00481123">
        <w:trPr>
          <w:trHeight w:val="81"/>
        </w:trPr>
        <w:tc>
          <w:tcPr>
            <w:tcW w:w="0" w:type="auto"/>
            <w:vMerge/>
            <w:tcBorders>
              <w:top w:val="nil"/>
              <w:left w:val="single" w:sz="8" w:space="0" w:color="auto"/>
              <w:bottom w:val="single" w:sz="8" w:space="0" w:color="auto"/>
              <w:right w:val="single" w:sz="8" w:space="0" w:color="auto"/>
            </w:tcBorders>
            <w:vAlign w:val="center"/>
            <w:hideMark/>
          </w:tcPr>
          <w:p w14:paraId="166FD179"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C3C3A1"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pozwoleniu na realizację inwestycji w zakresie budowli przeciwpowodziowych</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34EBEE" w14:textId="69008215" w:rsidR="001B2EF6" w:rsidRPr="005A58C0" w:rsidRDefault="00042DFA"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Nie dotyczy</w:t>
            </w:r>
          </w:p>
        </w:tc>
      </w:tr>
      <w:tr w:rsidR="001B2EF6" w:rsidRPr="009C1781" w14:paraId="3FE2378F" w14:textId="77777777" w:rsidTr="00151CA5">
        <w:trPr>
          <w:trHeight w:val="81"/>
        </w:trPr>
        <w:tc>
          <w:tcPr>
            <w:tcW w:w="0" w:type="auto"/>
            <w:vMerge/>
            <w:tcBorders>
              <w:top w:val="nil"/>
              <w:left w:val="single" w:sz="8" w:space="0" w:color="auto"/>
              <w:bottom w:val="single" w:sz="8" w:space="0" w:color="auto"/>
              <w:right w:val="single" w:sz="8" w:space="0" w:color="auto"/>
            </w:tcBorders>
            <w:vAlign w:val="center"/>
            <w:hideMark/>
          </w:tcPr>
          <w:p w14:paraId="3628C303"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54CE2A39"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ustaleniu lokalizacji inwestycji w zakresie budowy obiektu energetyki jądrowej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436A846" w14:textId="369B0CB1"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091D89" w:rsidRPr="005A58C0">
              <w:rPr>
                <w:rFonts w:ascii="Times New Roman" w:eastAsia="Times New Roman" w:hAnsi="Times New Roman" w:cs="Times New Roman"/>
                <w:sz w:val="20"/>
                <w:szCs w:val="20"/>
                <w:lang w:eastAsia="pl-PL"/>
              </w:rPr>
              <w:t>Nie dotyczy</w:t>
            </w:r>
            <w:r w:rsidR="00DD6E7C" w:rsidRPr="005A58C0">
              <w:rPr>
                <w:rFonts w:ascii="Times New Roman" w:eastAsia="Times New Roman" w:hAnsi="Times New Roman" w:cs="Times New Roman"/>
                <w:sz w:val="20"/>
                <w:szCs w:val="20"/>
                <w:lang w:eastAsia="pl-PL"/>
              </w:rPr>
              <w:t> </w:t>
            </w:r>
          </w:p>
        </w:tc>
      </w:tr>
      <w:tr w:rsidR="001B2EF6" w:rsidRPr="009C1781" w14:paraId="269AF777" w14:textId="77777777" w:rsidTr="00151CA5">
        <w:trPr>
          <w:trHeight w:val="81"/>
        </w:trPr>
        <w:tc>
          <w:tcPr>
            <w:tcW w:w="0" w:type="auto"/>
            <w:vMerge/>
            <w:tcBorders>
              <w:top w:val="nil"/>
              <w:left w:val="single" w:sz="8" w:space="0" w:color="auto"/>
              <w:bottom w:val="single" w:sz="8" w:space="0" w:color="auto"/>
              <w:right w:val="single" w:sz="8" w:space="0" w:color="auto"/>
            </w:tcBorders>
            <w:vAlign w:val="center"/>
            <w:hideMark/>
          </w:tcPr>
          <w:p w14:paraId="647A3047"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3E9B110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ustaleniu lokalizacji strategicznej inwestycji w zakresie sieci przesyłowej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AFCC6A0"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023C25" w:rsidRPr="005A58C0">
              <w:rPr>
                <w:rFonts w:ascii="Times New Roman" w:eastAsia="Times New Roman" w:hAnsi="Times New Roman" w:cs="Times New Roman"/>
                <w:sz w:val="20"/>
                <w:szCs w:val="20"/>
                <w:lang w:eastAsia="pl-PL"/>
              </w:rPr>
              <w:t xml:space="preserve">- istniejąca linia elektroenergetyczna 110 </w:t>
            </w:r>
            <w:proofErr w:type="spellStart"/>
            <w:r w:rsidR="00023C25" w:rsidRPr="005A58C0">
              <w:rPr>
                <w:rFonts w:ascii="Times New Roman" w:eastAsia="Times New Roman" w:hAnsi="Times New Roman" w:cs="Times New Roman"/>
                <w:sz w:val="20"/>
                <w:szCs w:val="20"/>
                <w:lang w:eastAsia="pl-PL"/>
              </w:rPr>
              <w:t>kV</w:t>
            </w:r>
            <w:proofErr w:type="spellEnd"/>
            <w:r w:rsidR="00023C25" w:rsidRPr="005A58C0">
              <w:rPr>
                <w:rFonts w:ascii="Times New Roman" w:eastAsia="Times New Roman" w:hAnsi="Times New Roman" w:cs="Times New Roman"/>
                <w:sz w:val="20"/>
                <w:szCs w:val="20"/>
                <w:lang w:eastAsia="pl-PL"/>
              </w:rPr>
              <w:t xml:space="preserve"> relacji Bema (BMA) – </w:t>
            </w:r>
            <w:proofErr w:type="spellStart"/>
            <w:r w:rsidR="00023C25" w:rsidRPr="005A58C0">
              <w:rPr>
                <w:rFonts w:ascii="Times New Roman" w:eastAsia="Times New Roman" w:hAnsi="Times New Roman" w:cs="Times New Roman"/>
                <w:sz w:val="20"/>
                <w:szCs w:val="20"/>
                <w:lang w:eastAsia="pl-PL"/>
              </w:rPr>
              <w:t>Nadolnik</w:t>
            </w:r>
            <w:proofErr w:type="spellEnd"/>
            <w:r w:rsidR="00023C25" w:rsidRPr="005A58C0">
              <w:rPr>
                <w:rFonts w:ascii="Times New Roman" w:eastAsia="Times New Roman" w:hAnsi="Times New Roman" w:cs="Times New Roman"/>
                <w:sz w:val="20"/>
                <w:szCs w:val="20"/>
                <w:lang w:eastAsia="pl-PL"/>
              </w:rPr>
              <w:t xml:space="preserve"> (NAD), z możliwością jej przebudowy i rozbudowy;</w:t>
            </w:r>
          </w:p>
          <w:p w14:paraId="5DE7F47B" w14:textId="3A7B86C0" w:rsidR="00023C25" w:rsidRPr="005A58C0" w:rsidRDefault="00023C25"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 </w:t>
            </w:r>
            <w:r w:rsidR="001504C6" w:rsidRPr="005A58C0">
              <w:rPr>
                <w:rFonts w:ascii="Times New Roman" w:eastAsia="Times New Roman" w:hAnsi="Times New Roman" w:cs="Times New Roman"/>
                <w:sz w:val="20"/>
                <w:szCs w:val="20"/>
                <w:lang w:eastAsia="pl-PL"/>
              </w:rPr>
              <w:t xml:space="preserve">Planowany GPZ „Polanka” wraz z zasileniem stacji po stronie WN-110 </w:t>
            </w:r>
            <w:proofErr w:type="spellStart"/>
            <w:r w:rsidR="001504C6" w:rsidRPr="005A58C0">
              <w:rPr>
                <w:rFonts w:ascii="Times New Roman" w:eastAsia="Times New Roman" w:hAnsi="Times New Roman" w:cs="Times New Roman"/>
                <w:sz w:val="20"/>
                <w:szCs w:val="20"/>
                <w:lang w:eastAsia="pl-PL"/>
              </w:rPr>
              <w:t>kV</w:t>
            </w:r>
            <w:proofErr w:type="spellEnd"/>
            <w:r w:rsidR="001504C6" w:rsidRPr="005A58C0">
              <w:rPr>
                <w:rFonts w:ascii="Times New Roman" w:eastAsia="Times New Roman" w:hAnsi="Times New Roman" w:cs="Times New Roman"/>
                <w:sz w:val="20"/>
                <w:szCs w:val="20"/>
                <w:lang w:eastAsia="pl-PL"/>
              </w:rPr>
              <w:t xml:space="preserve"> jako wcięcie w linię WN-110 </w:t>
            </w:r>
            <w:proofErr w:type="spellStart"/>
            <w:r w:rsidR="001504C6" w:rsidRPr="005A58C0">
              <w:rPr>
                <w:rFonts w:ascii="Times New Roman" w:eastAsia="Times New Roman" w:hAnsi="Times New Roman" w:cs="Times New Roman"/>
                <w:sz w:val="20"/>
                <w:szCs w:val="20"/>
                <w:lang w:eastAsia="pl-PL"/>
              </w:rPr>
              <w:t>kV</w:t>
            </w:r>
            <w:proofErr w:type="spellEnd"/>
            <w:r w:rsidR="001504C6" w:rsidRPr="005A58C0">
              <w:rPr>
                <w:rFonts w:ascii="Times New Roman" w:eastAsia="Times New Roman" w:hAnsi="Times New Roman" w:cs="Times New Roman"/>
                <w:sz w:val="20"/>
                <w:szCs w:val="20"/>
                <w:lang w:eastAsia="pl-PL"/>
              </w:rPr>
              <w:t xml:space="preserve"> relacji GPZ Bema (BMA) – GPZ </w:t>
            </w:r>
            <w:proofErr w:type="spellStart"/>
            <w:r w:rsidR="001504C6" w:rsidRPr="005A58C0">
              <w:rPr>
                <w:rFonts w:ascii="Times New Roman" w:eastAsia="Times New Roman" w:hAnsi="Times New Roman" w:cs="Times New Roman"/>
                <w:sz w:val="20"/>
                <w:szCs w:val="20"/>
                <w:lang w:eastAsia="pl-PL"/>
              </w:rPr>
              <w:t>Nadolnik</w:t>
            </w:r>
            <w:proofErr w:type="spellEnd"/>
            <w:r w:rsidR="001504C6" w:rsidRPr="005A58C0">
              <w:rPr>
                <w:rFonts w:ascii="Times New Roman" w:eastAsia="Times New Roman" w:hAnsi="Times New Roman" w:cs="Times New Roman"/>
                <w:sz w:val="20"/>
                <w:szCs w:val="20"/>
                <w:lang w:eastAsia="pl-PL"/>
              </w:rPr>
              <w:t xml:space="preserve"> (NAD);</w:t>
            </w:r>
          </w:p>
        </w:tc>
      </w:tr>
      <w:tr w:rsidR="001B2EF6" w:rsidRPr="009C1781" w14:paraId="257425F9" w14:textId="77777777" w:rsidTr="00151CA5">
        <w:trPr>
          <w:trHeight w:val="81"/>
        </w:trPr>
        <w:tc>
          <w:tcPr>
            <w:tcW w:w="0" w:type="auto"/>
            <w:vMerge/>
            <w:tcBorders>
              <w:top w:val="nil"/>
              <w:left w:val="single" w:sz="8" w:space="0" w:color="auto"/>
              <w:bottom w:val="single" w:sz="8" w:space="0" w:color="auto"/>
              <w:right w:val="single" w:sz="8" w:space="0" w:color="auto"/>
            </w:tcBorders>
            <w:vAlign w:val="center"/>
            <w:hideMark/>
          </w:tcPr>
          <w:p w14:paraId="22144F79"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039942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ustaleniu lokalizacji regionalnej sieci szerokopasmowej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BF447D2" w14:textId="5A149125"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D2102B" w:rsidRPr="005A58C0">
              <w:rPr>
                <w:rFonts w:ascii="Times New Roman" w:eastAsia="Times New Roman" w:hAnsi="Times New Roman" w:cs="Times New Roman"/>
                <w:sz w:val="20"/>
                <w:szCs w:val="20"/>
                <w:lang w:eastAsia="pl-PL"/>
              </w:rPr>
              <w:t>- istniejący obiekt łączności radiowo-telewizyjnej SLR Poznań-</w:t>
            </w:r>
            <w:proofErr w:type="spellStart"/>
            <w:r w:rsidR="00D2102B" w:rsidRPr="005A58C0">
              <w:rPr>
                <w:rFonts w:ascii="Times New Roman" w:eastAsia="Times New Roman" w:hAnsi="Times New Roman" w:cs="Times New Roman"/>
                <w:sz w:val="20"/>
                <w:szCs w:val="20"/>
                <w:lang w:eastAsia="pl-PL"/>
              </w:rPr>
              <w:t>Serafinek</w:t>
            </w:r>
            <w:proofErr w:type="spellEnd"/>
            <w:r w:rsidR="00D2102B" w:rsidRPr="005A58C0">
              <w:rPr>
                <w:rFonts w:ascii="Times New Roman" w:eastAsia="Times New Roman" w:hAnsi="Times New Roman" w:cs="Times New Roman"/>
                <w:sz w:val="20"/>
                <w:szCs w:val="20"/>
                <w:lang w:eastAsia="pl-PL"/>
              </w:rPr>
              <w:t xml:space="preserve"> wraz z pasem łączności radiowo-telewizyjnej;</w:t>
            </w:r>
            <w:r w:rsidR="00DD6E7C" w:rsidRPr="005A58C0">
              <w:rPr>
                <w:rFonts w:ascii="Times New Roman" w:eastAsia="Times New Roman" w:hAnsi="Times New Roman" w:cs="Times New Roman"/>
                <w:sz w:val="20"/>
                <w:szCs w:val="20"/>
                <w:lang w:eastAsia="pl-PL"/>
              </w:rPr>
              <w:t> </w:t>
            </w:r>
          </w:p>
        </w:tc>
      </w:tr>
      <w:tr w:rsidR="001B2EF6" w:rsidRPr="009C1781" w14:paraId="3FDAA9FC" w14:textId="77777777" w:rsidTr="00151CA5">
        <w:trPr>
          <w:trHeight w:val="81"/>
        </w:trPr>
        <w:tc>
          <w:tcPr>
            <w:tcW w:w="0" w:type="auto"/>
            <w:vMerge/>
            <w:tcBorders>
              <w:top w:val="nil"/>
              <w:left w:val="single" w:sz="8" w:space="0" w:color="auto"/>
              <w:bottom w:val="single" w:sz="8" w:space="0" w:color="auto"/>
              <w:right w:val="single" w:sz="8" w:space="0" w:color="auto"/>
            </w:tcBorders>
            <w:vAlign w:val="center"/>
            <w:hideMark/>
          </w:tcPr>
          <w:p w14:paraId="73E18BC8"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EBC7F0E"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xml:space="preserve">decyzja o ustaleniu lokalizacji inwestycji w zakresie Centralnego Portu Komunikacyjnego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062F842" w14:textId="66C2110A"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091D89" w:rsidRPr="005A58C0">
              <w:rPr>
                <w:rFonts w:ascii="Times New Roman" w:eastAsia="Times New Roman" w:hAnsi="Times New Roman" w:cs="Times New Roman"/>
                <w:sz w:val="20"/>
                <w:szCs w:val="20"/>
                <w:lang w:eastAsia="pl-PL"/>
              </w:rPr>
              <w:t>Nie dotyczy</w:t>
            </w:r>
            <w:r w:rsidR="00DD6E7C" w:rsidRPr="005A58C0">
              <w:rPr>
                <w:rFonts w:ascii="Times New Roman" w:eastAsia="Times New Roman" w:hAnsi="Times New Roman" w:cs="Times New Roman"/>
                <w:sz w:val="20"/>
                <w:szCs w:val="20"/>
                <w:lang w:eastAsia="pl-PL"/>
              </w:rPr>
              <w:t> </w:t>
            </w:r>
          </w:p>
        </w:tc>
      </w:tr>
      <w:tr w:rsidR="001B2EF6" w:rsidRPr="009C1781" w14:paraId="6317CE76" w14:textId="77777777" w:rsidTr="00151CA5">
        <w:trPr>
          <w:trHeight w:val="81"/>
        </w:trPr>
        <w:tc>
          <w:tcPr>
            <w:tcW w:w="0" w:type="auto"/>
            <w:vMerge/>
            <w:tcBorders>
              <w:top w:val="nil"/>
              <w:left w:val="single" w:sz="8" w:space="0" w:color="auto"/>
              <w:bottom w:val="single" w:sz="8" w:space="0" w:color="auto"/>
              <w:right w:val="single" w:sz="8" w:space="0" w:color="auto"/>
            </w:tcBorders>
            <w:vAlign w:val="center"/>
            <w:hideMark/>
          </w:tcPr>
          <w:p w14:paraId="42B7F041"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2588C0EF"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zezwoleniu na realizację inwestycji w zakresie infrastruktury dostępowej</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A5E6A11" w14:textId="61748659" w:rsidR="001B2EF6" w:rsidRPr="005A58C0" w:rsidRDefault="00D2102B"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Nie dotyczy</w:t>
            </w:r>
            <w:r w:rsidR="00DD6E7C" w:rsidRPr="005A58C0">
              <w:rPr>
                <w:rFonts w:ascii="Times New Roman" w:eastAsia="Times New Roman" w:hAnsi="Times New Roman" w:cs="Times New Roman"/>
                <w:sz w:val="20"/>
                <w:szCs w:val="20"/>
                <w:lang w:eastAsia="pl-PL"/>
              </w:rPr>
              <w:t> </w:t>
            </w:r>
          </w:p>
        </w:tc>
      </w:tr>
      <w:tr w:rsidR="001B2EF6" w:rsidRPr="009C1781" w14:paraId="33737523" w14:textId="77777777" w:rsidTr="00151CA5">
        <w:trPr>
          <w:trHeight w:val="81"/>
        </w:trPr>
        <w:tc>
          <w:tcPr>
            <w:tcW w:w="0" w:type="auto"/>
            <w:vMerge/>
            <w:tcBorders>
              <w:top w:val="nil"/>
              <w:left w:val="single" w:sz="8" w:space="0" w:color="auto"/>
              <w:bottom w:val="single" w:sz="8" w:space="0" w:color="auto"/>
              <w:right w:val="single" w:sz="8" w:space="0" w:color="auto"/>
            </w:tcBorders>
            <w:vAlign w:val="center"/>
            <w:hideMark/>
          </w:tcPr>
          <w:p w14:paraId="23587F3A" w14:textId="77777777" w:rsidR="001B2EF6" w:rsidRPr="009C1781"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15159F4D"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decyzja o ustaleniu lokalizacji strategicznej inwestycji w sektorze naftowym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98D0E88" w14:textId="25FF9A23"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ED7330" w:rsidRPr="005A58C0">
              <w:rPr>
                <w:rFonts w:ascii="Times New Roman" w:eastAsia="Times New Roman" w:hAnsi="Times New Roman" w:cs="Times New Roman"/>
                <w:sz w:val="20"/>
                <w:szCs w:val="20"/>
                <w:lang w:eastAsia="pl-PL"/>
              </w:rPr>
              <w:t>Nie dotyczy</w:t>
            </w:r>
            <w:r w:rsidR="00534EDC" w:rsidRPr="005A58C0">
              <w:rPr>
                <w:rFonts w:ascii="Times New Roman" w:eastAsia="Times New Roman" w:hAnsi="Times New Roman" w:cs="Times New Roman"/>
                <w:sz w:val="20"/>
                <w:szCs w:val="20"/>
                <w:lang w:eastAsia="pl-PL"/>
              </w:rPr>
              <w:t xml:space="preserve"> </w:t>
            </w:r>
          </w:p>
        </w:tc>
      </w:tr>
      <w:bookmarkEnd w:id="10"/>
      <w:tr w:rsidR="001B2EF6" w:rsidRPr="009C1781" w14:paraId="622AEEE3" w14:textId="77777777" w:rsidTr="00E06B7E">
        <w:trPr>
          <w:trHeight w:val="390"/>
        </w:trPr>
        <w:tc>
          <w:tcPr>
            <w:tcW w:w="9629" w:type="dxa"/>
            <w:gridSpan w:val="3"/>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F6191C2"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b/>
                <w:bCs/>
                <w:color w:val="000000"/>
                <w:sz w:val="20"/>
                <w:szCs w:val="20"/>
                <w:lang w:eastAsia="pl-PL"/>
              </w:rPr>
              <w:t>INFORMACJE DOTYCZĄCE BUDYNKU</w:t>
            </w:r>
          </w:p>
          <w:p w14:paraId="0D21BBB6"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sz w:val="20"/>
                <w:szCs w:val="20"/>
                <w:lang w:eastAsia="pl-PL"/>
              </w:rPr>
              <w:t> </w:t>
            </w:r>
          </w:p>
        </w:tc>
      </w:tr>
      <w:tr w:rsidR="001B2EF6" w:rsidRPr="009C1781" w14:paraId="54B805C9" w14:textId="77777777" w:rsidTr="00151CA5">
        <w:trPr>
          <w:trHeight w:val="390"/>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41B5607" w14:textId="77777777" w:rsidR="001B2EF6" w:rsidRPr="009C1781" w:rsidRDefault="001B2EF6" w:rsidP="001B2EF6">
            <w:pPr>
              <w:autoSpaceDN w:val="0"/>
              <w:spacing w:before="144" w:after="240"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Czy jest pozwolenie na budowę</w:t>
            </w:r>
          </w:p>
        </w:tc>
        <w:tc>
          <w:tcPr>
            <w:tcW w:w="3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02308" w14:textId="56C7A6AE" w:rsidR="001B2EF6" w:rsidRPr="006E1E1D" w:rsidRDefault="001B2EF6" w:rsidP="00C70252">
            <w:pPr>
              <w:autoSpaceDN w:val="0"/>
              <w:spacing w:before="144" w:after="144" w:line="240" w:lineRule="auto"/>
              <w:jc w:val="center"/>
              <w:rPr>
                <w:rFonts w:eastAsia="Times New Roman" w:cstheme="minorHAnsi"/>
                <w:color w:val="FF0000"/>
                <w:sz w:val="16"/>
                <w:szCs w:val="16"/>
                <w:lang w:eastAsia="pl-PL"/>
              </w:rPr>
            </w:pPr>
            <w:r w:rsidRPr="009C1781">
              <w:rPr>
                <w:rFonts w:ascii="Times New Roman" w:eastAsia="Times New Roman" w:hAnsi="Times New Roman" w:cs="Times New Roman"/>
                <w:sz w:val="20"/>
                <w:szCs w:val="20"/>
                <w:lang w:eastAsia="pl-PL"/>
              </w:rPr>
              <w:t>tak</w:t>
            </w:r>
            <w:r w:rsidR="00C70252" w:rsidRPr="009C1781">
              <w:rPr>
                <w:rFonts w:ascii="Times New Roman" w:eastAsia="Times New Roman" w:hAnsi="Times New Roman" w:cs="Times New Roman"/>
                <w:sz w:val="20"/>
                <w:szCs w:val="20"/>
                <w:lang w:eastAsia="pl-PL"/>
              </w:rPr>
              <w:t>*</w:t>
            </w:r>
            <w:r w:rsidR="006E1E1D">
              <w:rPr>
                <w:rFonts w:ascii="Times New Roman" w:eastAsia="Times New Roman" w:hAnsi="Times New Roman" w:cs="Times New Roman"/>
                <w:sz w:val="20"/>
                <w:szCs w:val="20"/>
                <w:lang w:eastAsia="pl-PL"/>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CD79A" w14:textId="77777777" w:rsidR="001B2EF6" w:rsidRPr="009C1781" w:rsidRDefault="001B2EF6" w:rsidP="001B2EF6">
            <w:pPr>
              <w:autoSpaceDN w:val="0"/>
              <w:spacing w:before="144" w:after="144" w:line="240" w:lineRule="auto"/>
              <w:jc w:val="center"/>
              <w:rPr>
                <w:rFonts w:ascii="Times New Roman" w:eastAsia="Times New Roman" w:hAnsi="Times New Roman" w:cs="Times New Roman"/>
                <w:strike/>
                <w:sz w:val="20"/>
                <w:szCs w:val="20"/>
                <w:lang w:eastAsia="pl-PL"/>
              </w:rPr>
            </w:pPr>
            <w:r w:rsidRPr="009C1781">
              <w:rPr>
                <w:rFonts w:ascii="Times New Roman" w:eastAsia="Times New Roman" w:hAnsi="Times New Roman" w:cs="Times New Roman"/>
                <w:strike/>
                <w:sz w:val="20"/>
                <w:szCs w:val="20"/>
                <w:lang w:eastAsia="pl-PL"/>
              </w:rPr>
              <w:t>nie*</w:t>
            </w:r>
          </w:p>
        </w:tc>
      </w:tr>
      <w:tr w:rsidR="001B2EF6" w:rsidRPr="009C1781" w14:paraId="229AB30A" w14:textId="77777777" w:rsidTr="00151CA5">
        <w:trPr>
          <w:trHeight w:val="390"/>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32C2DDDE"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Czy pozwolenie na budowę jest ostateczne</w:t>
            </w:r>
          </w:p>
        </w:tc>
        <w:tc>
          <w:tcPr>
            <w:tcW w:w="3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64C10" w14:textId="44CF1490" w:rsidR="001B2EF6" w:rsidRPr="009C1781" w:rsidRDefault="001B2EF6" w:rsidP="001B2EF6">
            <w:pPr>
              <w:autoSpaceDN w:val="0"/>
              <w:spacing w:before="144" w:after="144" w:line="240" w:lineRule="auto"/>
              <w:jc w:val="center"/>
              <w:rPr>
                <w:rFonts w:ascii="Times New Roman" w:eastAsia="Times New Roman" w:hAnsi="Times New Roman" w:cs="Times New Roman"/>
                <w:sz w:val="20"/>
                <w:szCs w:val="20"/>
                <w:lang w:eastAsia="pl-PL"/>
              </w:rPr>
            </w:pPr>
            <w:r w:rsidRPr="006A7760">
              <w:rPr>
                <w:rFonts w:ascii="Times New Roman" w:eastAsia="Times New Roman" w:hAnsi="Times New Roman" w:cs="Times New Roman"/>
                <w:sz w:val="20"/>
                <w:szCs w:val="20"/>
                <w:lang w:eastAsia="pl-PL"/>
              </w:rPr>
              <w:t>tak</w:t>
            </w:r>
            <w:r w:rsidRPr="009C1781">
              <w:rPr>
                <w:rFonts w:ascii="Times New Roman" w:eastAsia="Times New Roman" w:hAnsi="Times New Roman" w:cs="Times New Roman"/>
                <w:sz w:val="20"/>
                <w:szCs w:val="20"/>
                <w:lang w:eastAsia="pl-PL"/>
              </w:rPr>
              <w:t>*</w:t>
            </w:r>
            <w:r w:rsidR="006730FD">
              <w:rPr>
                <w:rFonts w:ascii="Times New Roman" w:eastAsia="Times New Roman" w:hAnsi="Times New Roman" w:cs="Times New Roman"/>
                <w:sz w:val="20"/>
                <w:szCs w:val="20"/>
                <w:lang w:eastAsia="pl-PL"/>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0E76A" w14:textId="7A43C351" w:rsidR="001B2EF6" w:rsidRPr="006A7760" w:rsidRDefault="0053138A" w:rsidP="001B2EF6">
            <w:pPr>
              <w:autoSpaceDN w:val="0"/>
              <w:spacing w:before="144" w:after="144" w:line="240" w:lineRule="auto"/>
              <w:jc w:val="center"/>
              <w:rPr>
                <w:rFonts w:ascii="Times New Roman" w:eastAsia="Times New Roman" w:hAnsi="Times New Roman" w:cs="Times New Roman"/>
                <w:strike/>
                <w:sz w:val="20"/>
                <w:szCs w:val="20"/>
                <w:lang w:eastAsia="pl-PL"/>
              </w:rPr>
            </w:pPr>
            <w:r w:rsidRPr="006A7760">
              <w:rPr>
                <w:rFonts w:ascii="Times New Roman" w:eastAsia="Times New Roman" w:hAnsi="Times New Roman" w:cs="Times New Roman"/>
                <w:strike/>
                <w:sz w:val="20"/>
                <w:szCs w:val="20"/>
                <w:lang w:eastAsia="pl-PL"/>
              </w:rPr>
              <w:t>nie</w:t>
            </w:r>
            <w:r w:rsidR="001B2EF6" w:rsidRPr="006A7760">
              <w:rPr>
                <w:rFonts w:ascii="Times New Roman" w:eastAsia="Times New Roman" w:hAnsi="Times New Roman" w:cs="Times New Roman"/>
                <w:strike/>
                <w:sz w:val="20"/>
                <w:szCs w:val="20"/>
                <w:lang w:eastAsia="pl-PL"/>
              </w:rPr>
              <w:t>*</w:t>
            </w:r>
          </w:p>
        </w:tc>
      </w:tr>
      <w:tr w:rsidR="001B2EF6" w:rsidRPr="009C1781" w14:paraId="138EFAED" w14:textId="77777777" w:rsidTr="00151CA5">
        <w:trPr>
          <w:trHeight w:val="390"/>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3D33ED5"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Czy pozwolenie na budowę jest zaskarżone</w:t>
            </w:r>
          </w:p>
        </w:tc>
        <w:tc>
          <w:tcPr>
            <w:tcW w:w="3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E2DB1" w14:textId="0C46CF04" w:rsidR="001B2EF6" w:rsidRPr="00084458" w:rsidRDefault="0053138A" w:rsidP="001B2EF6">
            <w:pPr>
              <w:autoSpaceDN w:val="0"/>
              <w:spacing w:before="144" w:after="144" w:line="240" w:lineRule="auto"/>
              <w:jc w:val="center"/>
              <w:rPr>
                <w:rFonts w:ascii="Times New Roman" w:eastAsia="Times New Roman" w:hAnsi="Times New Roman" w:cs="Times New Roman"/>
                <w:strike/>
                <w:color w:val="FF0000"/>
                <w:sz w:val="20"/>
                <w:szCs w:val="20"/>
                <w:lang w:eastAsia="pl-PL"/>
              </w:rPr>
            </w:pPr>
            <w:r w:rsidRPr="00084458">
              <w:rPr>
                <w:rFonts w:ascii="Times New Roman" w:eastAsia="Times New Roman" w:hAnsi="Times New Roman" w:cs="Times New Roman"/>
                <w:strike/>
                <w:sz w:val="20"/>
                <w:szCs w:val="20"/>
                <w:lang w:eastAsia="pl-PL"/>
              </w:rPr>
              <w:t>tak*</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BE7F8" w14:textId="77777777" w:rsidR="001B2EF6" w:rsidRPr="00084458" w:rsidRDefault="001B2EF6" w:rsidP="001B2EF6">
            <w:pPr>
              <w:autoSpaceDN w:val="0"/>
              <w:spacing w:before="144" w:after="144" w:line="240" w:lineRule="auto"/>
              <w:jc w:val="center"/>
              <w:rPr>
                <w:rFonts w:ascii="Times New Roman" w:eastAsia="Times New Roman" w:hAnsi="Times New Roman" w:cs="Times New Roman"/>
                <w:color w:val="FF0000"/>
                <w:sz w:val="20"/>
                <w:szCs w:val="20"/>
                <w:lang w:eastAsia="pl-PL"/>
              </w:rPr>
            </w:pPr>
            <w:r w:rsidRPr="00EC30FB">
              <w:rPr>
                <w:rFonts w:ascii="Times New Roman" w:eastAsia="Times New Roman" w:hAnsi="Times New Roman" w:cs="Times New Roman"/>
                <w:sz w:val="20"/>
                <w:szCs w:val="20"/>
                <w:lang w:eastAsia="pl-PL"/>
              </w:rPr>
              <w:t>nie*</w:t>
            </w:r>
          </w:p>
        </w:tc>
      </w:tr>
      <w:tr w:rsidR="001B2EF6" w:rsidRPr="009C1781" w14:paraId="039828C1" w14:textId="77777777" w:rsidTr="00151CA5">
        <w:trPr>
          <w:trHeight w:val="195"/>
        </w:trPr>
        <w:tc>
          <w:tcPr>
            <w:tcW w:w="2657" w:type="dxa"/>
            <w:tcBorders>
              <w:top w:val="nil"/>
              <w:left w:val="single" w:sz="8" w:space="0" w:color="auto"/>
              <w:bottom w:val="single" w:sz="4" w:space="0" w:color="auto"/>
              <w:right w:val="single" w:sz="8" w:space="0" w:color="auto"/>
            </w:tcBorders>
            <w:shd w:val="clear" w:color="auto" w:fill="F3F3F3"/>
            <w:tcMar>
              <w:top w:w="0" w:type="dxa"/>
              <w:left w:w="108" w:type="dxa"/>
              <w:bottom w:w="0" w:type="dxa"/>
              <w:right w:w="108" w:type="dxa"/>
            </w:tcMar>
            <w:hideMark/>
          </w:tcPr>
          <w:p w14:paraId="6F3D03E0" w14:textId="77777777" w:rsidR="001B2EF6" w:rsidRPr="009C1781"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9C1781">
              <w:rPr>
                <w:rFonts w:ascii="Times New Roman" w:eastAsia="Times New Roman" w:hAnsi="Times New Roman" w:cs="Times New Roman"/>
                <w:color w:val="000000"/>
                <w:sz w:val="20"/>
                <w:szCs w:val="20"/>
                <w:lang w:eastAsia="pl-PL"/>
              </w:rPr>
              <w:t>Numer pozwolenia na budowę oraz nazwa organu, który je wydał</w:t>
            </w:r>
          </w:p>
        </w:tc>
        <w:tc>
          <w:tcPr>
            <w:tcW w:w="6972"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66B1CE5" w14:textId="77777777" w:rsidR="00575EB1" w:rsidRPr="005A58C0" w:rsidRDefault="00575EB1" w:rsidP="00575EB1">
            <w:pPr>
              <w:shd w:val="clear" w:color="auto" w:fill="FFFFFF"/>
              <w:spacing w:before="30" w:line="270" w:lineRule="exact"/>
              <w:rPr>
                <w:rFonts w:ascii="Times New Roman" w:eastAsia="SimSun;宋体" w:hAnsi="Times New Roman" w:cs="Times New Roman"/>
                <w:sz w:val="19"/>
                <w:szCs w:val="19"/>
              </w:rPr>
            </w:pPr>
            <w:r w:rsidRPr="005A58C0">
              <w:rPr>
                <w:rFonts w:ascii="Times New Roman" w:eastAsia="SimSun;宋体" w:hAnsi="Times New Roman" w:cs="Times New Roman"/>
                <w:sz w:val="19"/>
                <w:szCs w:val="19"/>
              </w:rPr>
              <w:t xml:space="preserve">Decyzja pozwolenia na budowę z dnia 18.09.2023r nr 745/2023 wydana przez Prezydenta Miasta Poznania dla Invest </w:t>
            </w:r>
            <w:proofErr w:type="spellStart"/>
            <w:r w:rsidRPr="005A58C0">
              <w:rPr>
                <w:rFonts w:ascii="Times New Roman" w:eastAsia="SimSun;宋体" w:hAnsi="Times New Roman" w:cs="Times New Roman"/>
                <w:sz w:val="19"/>
                <w:szCs w:val="19"/>
              </w:rPr>
              <w:t>Complex</w:t>
            </w:r>
            <w:proofErr w:type="spellEnd"/>
            <w:r w:rsidRPr="005A58C0">
              <w:rPr>
                <w:rFonts w:ascii="Times New Roman" w:eastAsia="SimSun;宋体" w:hAnsi="Times New Roman" w:cs="Times New Roman"/>
                <w:sz w:val="19"/>
                <w:szCs w:val="19"/>
              </w:rPr>
              <w:t xml:space="preserve"> Developer II </w:t>
            </w:r>
            <w:proofErr w:type="spellStart"/>
            <w:r w:rsidRPr="005A58C0">
              <w:rPr>
                <w:rFonts w:ascii="Times New Roman" w:eastAsia="SimSun;宋体" w:hAnsi="Times New Roman" w:cs="Times New Roman"/>
                <w:sz w:val="19"/>
                <w:szCs w:val="19"/>
              </w:rPr>
              <w:t>Sp</w:t>
            </w:r>
            <w:proofErr w:type="spellEnd"/>
            <w:r w:rsidRPr="005A58C0">
              <w:rPr>
                <w:rFonts w:ascii="Times New Roman" w:eastAsia="SimSun;宋体" w:hAnsi="Times New Roman" w:cs="Times New Roman"/>
                <w:sz w:val="19"/>
                <w:szCs w:val="19"/>
              </w:rPr>
              <w:t xml:space="preserve"> z o.o. </w:t>
            </w:r>
            <w:r>
              <w:rPr>
                <w:rFonts w:ascii="Times New Roman" w:eastAsia="SimSun;宋体" w:hAnsi="Times New Roman" w:cs="Times New Roman"/>
                <w:sz w:val="19"/>
                <w:szCs w:val="19"/>
              </w:rPr>
              <w:t>Decyzja stała się ostateczna z dniem 13.12.2023r</w:t>
            </w:r>
          </w:p>
          <w:p w14:paraId="1197FF7C" w14:textId="69C689E0" w:rsidR="00BA31B8" w:rsidRPr="00476321" w:rsidRDefault="00151CA5" w:rsidP="00BA31B8">
            <w:pPr>
              <w:shd w:val="clear" w:color="auto" w:fill="FFFFFF"/>
              <w:spacing w:before="30" w:line="270" w:lineRule="exact"/>
              <w:rPr>
                <w:rFonts w:ascii="Times New Roman" w:eastAsia="SimSun;宋体" w:hAnsi="Times New Roman" w:cs="Times New Roman"/>
                <w:sz w:val="19"/>
                <w:szCs w:val="19"/>
              </w:rPr>
            </w:pPr>
            <w:r w:rsidRPr="00476321">
              <w:rPr>
                <w:rFonts w:ascii="Times New Roman" w:eastAsia="SimSun;宋体" w:hAnsi="Times New Roman" w:cs="Times New Roman"/>
                <w:sz w:val="19"/>
                <w:szCs w:val="19"/>
              </w:rPr>
              <w:t xml:space="preserve">Decyzja </w:t>
            </w:r>
            <w:r w:rsidR="00BA31B8" w:rsidRPr="00476321">
              <w:rPr>
                <w:rFonts w:ascii="Times New Roman" w:eastAsia="SimSun;宋体" w:hAnsi="Times New Roman" w:cs="Times New Roman"/>
                <w:sz w:val="19"/>
                <w:szCs w:val="19"/>
              </w:rPr>
              <w:t xml:space="preserve">pozwolenia na budowę </w:t>
            </w:r>
            <w:r w:rsidRPr="00476321">
              <w:rPr>
                <w:rFonts w:ascii="Times New Roman" w:eastAsia="SimSun;宋体" w:hAnsi="Times New Roman" w:cs="Times New Roman"/>
                <w:sz w:val="19"/>
                <w:szCs w:val="19"/>
              </w:rPr>
              <w:t xml:space="preserve">z dnia </w:t>
            </w:r>
            <w:r w:rsidR="00A16BF9" w:rsidRPr="00476321">
              <w:rPr>
                <w:rFonts w:ascii="Times New Roman" w:eastAsia="SimSun;宋体" w:hAnsi="Times New Roman" w:cs="Times New Roman"/>
                <w:sz w:val="19"/>
                <w:szCs w:val="19"/>
              </w:rPr>
              <w:t xml:space="preserve">06.09.2024 </w:t>
            </w:r>
            <w:r w:rsidRPr="00476321">
              <w:rPr>
                <w:rFonts w:ascii="Times New Roman" w:eastAsia="SimSun;宋体" w:hAnsi="Times New Roman" w:cs="Times New Roman"/>
                <w:sz w:val="19"/>
                <w:szCs w:val="19"/>
              </w:rPr>
              <w:t xml:space="preserve"> nr </w:t>
            </w:r>
            <w:r w:rsidR="00A16BF9" w:rsidRPr="00476321">
              <w:rPr>
                <w:rFonts w:ascii="Times New Roman" w:eastAsia="SimSun;宋体" w:hAnsi="Times New Roman" w:cs="Times New Roman"/>
                <w:sz w:val="19"/>
                <w:szCs w:val="19"/>
              </w:rPr>
              <w:t>629/2024</w:t>
            </w:r>
            <w:r w:rsidR="00BA31B8" w:rsidRPr="00476321">
              <w:rPr>
                <w:rFonts w:ascii="Times New Roman" w:eastAsia="SimSun;宋体" w:hAnsi="Times New Roman" w:cs="Times New Roman"/>
                <w:sz w:val="19"/>
                <w:szCs w:val="19"/>
              </w:rPr>
              <w:t xml:space="preserve"> wydana przez Prezydenta Miasta Poznania dla Invest </w:t>
            </w:r>
            <w:proofErr w:type="spellStart"/>
            <w:r w:rsidR="00BA31B8" w:rsidRPr="00476321">
              <w:rPr>
                <w:rFonts w:ascii="Times New Roman" w:eastAsia="SimSun;宋体" w:hAnsi="Times New Roman" w:cs="Times New Roman"/>
                <w:sz w:val="19"/>
                <w:szCs w:val="19"/>
              </w:rPr>
              <w:t>Complex</w:t>
            </w:r>
            <w:proofErr w:type="spellEnd"/>
            <w:r w:rsidR="00BA31B8" w:rsidRPr="00476321">
              <w:rPr>
                <w:rFonts w:ascii="Times New Roman" w:eastAsia="SimSun;宋体" w:hAnsi="Times New Roman" w:cs="Times New Roman"/>
                <w:sz w:val="19"/>
                <w:szCs w:val="19"/>
              </w:rPr>
              <w:t xml:space="preserve"> Developer II </w:t>
            </w:r>
            <w:proofErr w:type="spellStart"/>
            <w:r w:rsidR="00BA31B8" w:rsidRPr="00476321">
              <w:rPr>
                <w:rFonts w:ascii="Times New Roman" w:eastAsia="SimSun;宋体" w:hAnsi="Times New Roman" w:cs="Times New Roman"/>
                <w:sz w:val="19"/>
                <w:szCs w:val="19"/>
              </w:rPr>
              <w:t>Sp</w:t>
            </w:r>
            <w:proofErr w:type="spellEnd"/>
            <w:r w:rsidR="00BA31B8" w:rsidRPr="00476321">
              <w:rPr>
                <w:rFonts w:ascii="Times New Roman" w:eastAsia="SimSun;宋体" w:hAnsi="Times New Roman" w:cs="Times New Roman"/>
                <w:sz w:val="19"/>
                <w:szCs w:val="19"/>
              </w:rPr>
              <w:t xml:space="preserve"> z o.o. </w:t>
            </w:r>
            <w:r w:rsidR="00575EB1">
              <w:rPr>
                <w:rFonts w:ascii="Times New Roman" w:eastAsia="SimSun;宋体" w:hAnsi="Times New Roman" w:cs="Times New Roman"/>
                <w:sz w:val="19"/>
                <w:szCs w:val="19"/>
              </w:rPr>
              <w:t>Decyzja stała się ostateczna z dniem 27.09.2024r</w:t>
            </w:r>
          </w:p>
          <w:p w14:paraId="48A34F7F" w14:textId="18DB2B65" w:rsidR="00EC30FB" w:rsidRPr="00476321" w:rsidRDefault="00EC30FB" w:rsidP="00BA31B8">
            <w:pPr>
              <w:shd w:val="clear" w:color="auto" w:fill="FFFFFF"/>
              <w:spacing w:before="30" w:line="270" w:lineRule="exact"/>
              <w:rPr>
                <w:rFonts w:ascii="Times New Roman" w:eastAsia="SimSun;宋体" w:hAnsi="Times New Roman" w:cs="Times New Roman"/>
                <w:sz w:val="19"/>
                <w:szCs w:val="19"/>
              </w:rPr>
            </w:pPr>
            <w:r w:rsidRPr="00476321">
              <w:rPr>
                <w:rFonts w:ascii="Times New Roman" w:eastAsia="SimSun;宋体" w:hAnsi="Times New Roman" w:cs="Times New Roman"/>
                <w:sz w:val="19"/>
                <w:szCs w:val="19"/>
              </w:rPr>
              <w:t xml:space="preserve">Decyzja </w:t>
            </w:r>
            <w:r w:rsidR="00A16BF9" w:rsidRPr="00476321">
              <w:rPr>
                <w:rFonts w:ascii="Times New Roman" w:eastAsia="SimSun;宋体" w:hAnsi="Times New Roman" w:cs="Times New Roman"/>
                <w:sz w:val="19"/>
                <w:szCs w:val="19"/>
              </w:rPr>
              <w:t>przenosząca decyzję nr 629/2024  na Invest Complex Na Miasteczku – decyzja z dnia 14.10.2024r, decyzja stała się ostateczna z dniem 17.10.2024r</w:t>
            </w:r>
          </w:p>
          <w:p w14:paraId="12CAA7E8" w14:textId="4EF51752" w:rsidR="001B2EF6" w:rsidRPr="00A16BF9" w:rsidRDefault="001B2EF6" w:rsidP="00BA31B8">
            <w:pPr>
              <w:shd w:val="clear" w:color="auto" w:fill="FFFFFF"/>
              <w:spacing w:before="30" w:line="270" w:lineRule="exact"/>
              <w:rPr>
                <w:rFonts w:ascii="Times New Roman" w:eastAsia="SimSun;宋体" w:hAnsi="Times New Roman" w:cs="Times New Roman"/>
                <w:color w:val="0070C0"/>
                <w:sz w:val="19"/>
                <w:szCs w:val="19"/>
              </w:rPr>
            </w:pPr>
          </w:p>
        </w:tc>
      </w:tr>
      <w:tr w:rsidR="005A58C0" w:rsidRPr="005A58C0" w14:paraId="090C89B0" w14:textId="77777777" w:rsidTr="00151CA5">
        <w:trPr>
          <w:trHeight w:val="195"/>
        </w:trPr>
        <w:tc>
          <w:tcPr>
            <w:tcW w:w="2657"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hideMark/>
          </w:tcPr>
          <w:p w14:paraId="7F6033CC"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Data uprawomocnienia się decyzji o pozwoleniu na użytkowanie budynku</w:t>
            </w:r>
          </w:p>
        </w:tc>
        <w:tc>
          <w:tcPr>
            <w:tcW w:w="69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02873" w14:textId="178AD996" w:rsidR="001B2EF6" w:rsidRPr="005A58C0" w:rsidRDefault="00BA31B8"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Nie dotyczy – inwestycja w trakcie realizacji</w:t>
            </w:r>
          </w:p>
        </w:tc>
      </w:tr>
      <w:tr w:rsidR="005A58C0" w:rsidRPr="005A58C0" w14:paraId="427E69C0" w14:textId="77777777" w:rsidTr="00151CA5">
        <w:trPr>
          <w:trHeight w:val="195"/>
        </w:trPr>
        <w:tc>
          <w:tcPr>
            <w:tcW w:w="2657" w:type="dxa"/>
            <w:tcBorders>
              <w:top w:val="single" w:sz="4"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410AEA79" w14:textId="77777777" w:rsidR="001B2EF6" w:rsidRPr="005A58C0" w:rsidRDefault="001B2EF6" w:rsidP="001B2EF6">
            <w:pPr>
              <w:autoSpaceDN w:val="0"/>
              <w:spacing w:before="120" w:after="120"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Numer zgłoszenia budowy, </w:t>
            </w:r>
            <w:r w:rsidRPr="005A58C0">
              <w:rPr>
                <w:rFonts w:ascii="Times New Roman" w:eastAsia="Times New Roman" w:hAnsi="Times New Roman" w:cs="Times New Roman"/>
                <w:sz w:val="20"/>
                <w:szCs w:val="20"/>
                <w:lang w:eastAsia="pl-PL"/>
              </w:rPr>
              <w:br/>
              <w:t>o której mowa w art. 29 ust. 1 pkt 1 ustawy z dnia 7 lipca 1994 r. – Prawo budowlane (Dz. U. z 2020 r. poz. 1333, 2127 i 2320 oraz z 2021 r. poz. 11, 234, 282 i 784), oraz oznaczenie organu, do którego dokonano zgłoszenia, wraz z informacją o braku wniesienia sprzeciwu przez ten organ</w:t>
            </w:r>
          </w:p>
        </w:tc>
        <w:tc>
          <w:tcPr>
            <w:tcW w:w="697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ABB7EE" w14:textId="1C222D8C" w:rsidR="008B7F82" w:rsidRDefault="008B7F82" w:rsidP="001B2EF6">
            <w:pPr>
              <w:autoSpaceDN w:val="0"/>
              <w:spacing w:before="144" w:after="144"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Zgłoszenie rozpoczęcia budowy zgłoszone do Powiatowego Inspektoratu Nadzoru Budowlanego dla Miasta Poznania z </w:t>
            </w:r>
            <w:proofErr w:type="spellStart"/>
            <w:r>
              <w:rPr>
                <w:rFonts w:ascii="Times New Roman" w:eastAsia="Times New Roman" w:hAnsi="Times New Roman" w:cs="Times New Roman"/>
                <w:sz w:val="20"/>
                <w:szCs w:val="20"/>
                <w:lang w:eastAsia="pl-PL"/>
              </w:rPr>
              <w:t>dn</w:t>
            </w:r>
            <w:proofErr w:type="spellEnd"/>
            <w:r>
              <w:rPr>
                <w:rFonts w:ascii="Times New Roman" w:eastAsia="Times New Roman" w:hAnsi="Times New Roman" w:cs="Times New Roman"/>
                <w:sz w:val="20"/>
                <w:szCs w:val="20"/>
                <w:lang w:eastAsia="pl-PL"/>
              </w:rPr>
              <w:t xml:space="preserve"> </w:t>
            </w:r>
            <w:r w:rsidRPr="008B7F82">
              <w:rPr>
                <w:rFonts w:ascii="Times New Roman" w:eastAsia="Times New Roman" w:hAnsi="Times New Roman" w:cs="Times New Roman"/>
                <w:b/>
                <w:bCs/>
                <w:sz w:val="20"/>
                <w:szCs w:val="20"/>
                <w:lang w:eastAsia="pl-PL"/>
              </w:rPr>
              <w:t>05.02.2024r</w:t>
            </w:r>
            <w:r>
              <w:rPr>
                <w:rFonts w:ascii="Times New Roman" w:eastAsia="Times New Roman" w:hAnsi="Times New Roman" w:cs="Times New Roman"/>
                <w:sz w:val="20"/>
                <w:szCs w:val="20"/>
                <w:lang w:eastAsia="pl-PL"/>
              </w:rPr>
              <w:t xml:space="preserve"> (na podstawie PNB nr </w:t>
            </w:r>
            <w:r w:rsidRPr="005A58C0">
              <w:rPr>
                <w:rFonts w:ascii="Times New Roman" w:eastAsia="SimSun;宋体" w:hAnsi="Times New Roman" w:cs="Times New Roman"/>
                <w:sz w:val="19"/>
                <w:szCs w:val="19"/>
              </w:rPr>
              <w:t>745/2023</w:t>
            </w:r>
            <w:r>
              <w:rPr>
                <w:rFonts w:ascii="Times New Roman" w:eastAsia="SimSun;宋体" w:hAnsi="Times New Roman" w:cs="Times New Roman"/>
                <w:sz w:val="19"/>
                <w:szCs w:val="19"/>
              </w:rPr>
              <w:t xml:space="preserve"> z dnia 18.09.2023r)</w:t>
            </w:r>
          </w:p>
          <w:p w14:paraId="5AD1ED03" w14:textId="6EF05171" w:rsidR="001B2EF6" w:rsidRPr="005A58C0" w:rsidRDefault="00151CA5" w:rsidP="001B2EF6">
            <w:pPr>
              <w:autoSpaceDN w:val="0"/>
              <w:spacing w:before="144" w:after="144" w:line="240" w:lineRule="auto"/>
              <w:jc w:val="both"/>
              <w:rPr>
                <w:rFonts w:ascii="Times New Roman" w:eastAsia="Times New Roman" w:hAnsi="Times New Roman" w:cs="Times New Roman"/>
                <w:sz w:val="20"/>
                <w:szCs w:val="20"/>
                <w:lang w:eastAsia="pl-PL"/>
              </w:rPr>
            </w:pPr>
            <w:r w:rsidRPr="00476321">
              <w:rPr>
                <w:rFonts w:ascii="Times New Roman" w:eastAsia="Times New Roman" w:hAnsi="Times New Roman" w:cs="Times New Roman"/>
                <w:sz w:val="20"/>
                <w:szCs w:val="20"/>
                <w:lang w:eastAsia="pl-PL"/>
              </w:rPr>
              <w:t xml:space="preserve">Zgłoszenie rozpoczęcia budowy zgłoszone do Powiatowego Inspektoratu </w:t>
            </w:r>
            <w:r w:rsidR="00A16BF9" w:rsidRPr="00476321">
              <w:rPr>
                <w:rFonts w:ascii="Times New Roman" w:eastAsia="Times New Roman" w:hAnsi="Times New Roman" w:cs="Times New Roman"/>
                <w:sz w:val="20"/>
                <w:szCs w:val="20"/>
                <w:lang w:eastAsia="pl-PL"/>
              </w:rPr>
              <w:t xml:space="preserve">Nadzoru </w:t>
            </w:r>
            <w:r w:rsidRPr="00476321">
              <w:rPr>
                <w:rFonts w:ascii="Times New Roman" w:eastAsia="Times New Roman" w:hAnsi="Times New Roman" w:cs="Times New Roman"/>
                <w:sz w:val="20"/>
                <w:szCs w:val="20"/>
                <w:lang w:eastAsia="pl-PL"/>
              </w:rPr>
              <w:t>Budowlanego</w:t>
            </w:r>
            <w:r w:rsidR="0031376F" w:rsidRPr="00476321">
              <w:rPr>
                <w:rFonts w:ascii="Times New Roman" w:eastAsia="Times New Roman" w:hAnsi="Times New Roman" w:cs="Times New Roman"/>
                <w:sz w:val="20"/>
                <w:szCs w:val="20"/>
                <w:lang w:eastAsia="pl-PL"/>
              </w:rPr>
              <w:t xml:space="preserve"> </w:t>
            </w:r>
            <w:r w:rsidRPr="00476321">
              <w:rPr>
                <w:rFonts w:ascii="Times New Roman" w:eastAsia="Times New Roman" w:hAnsi="Times New Roman" w:cs="Times New Roman"/>
                <w:sz w:val="20"/>
                <w:szCs w:val="20"/>
                <w:lang w:eastAsia="pl-PL"/>
              </w:rPr>
              <w:t xml:space="preserve"> dla Miasta Poznania </w:t>
            </w:r>
            <w:r w:rsidRPr="00476321">
              <w:rPr>
                <w:rFonts w:ascii="Times New Roman" w:eastAsia="Times New Roman" w:hAnsi="Times New Roman" w:cs="Times New Roman"/>
                <w:b/>
                <w:bCs/>
                <w:sz w:val="20"/>
                <w:szCs w:val="20"/>
                <w:lang w:eastAsia="pl-PL"/>
              </w:rPr>
              <w:t xml:space="preserve">z </w:t>
            </w:r>
            <w:proofErr w:type="spellStart"/>
            <w:r w:rsidRPr="00476321">
              <w:rPr>
                <w:rFonts w:ascii="Times New Roman" w:eastAsia="Times New Roman" w:hAnsi="Times New Roman" w:cs="Times New Roman"/>
                <w:b/>
                <w:bCs/>
                <w:sz w:val="20"/>
                <w:szCs w:val="20"/>
                <w:lang w:eastAsia="pl-PL"/>
              </w:rPr>
              <w:t>dn</w:t>
            </w:r>
            <w:proofErr w:type="spellEnd"/>
            <w:r w:rsidR="00B64D6A" w:rsidRPr="00476321">
              <w:rPr>
                <w:rFonts w:ascii="Times New Roman" w:eastAsia="Times New Roman" w:hAnsi="Times New Roman" w:cs="Times New Roman"/>
                <w:b/>
                <w:bCs/>
                <w:sz w:val="20"/>
                <w:szCs w:val="20"/>
                <w:lang w:eastAsia="pl-PL"/>
              </w:rPr>
              <w:t xml:space="preserve"> </w:t>
            </w:r>
            <w:r w:rsidR="00A16BF9" w:rsidRPr="00476321">
              <w:rPr>
                <w:rFonts w:ascii="Times New Roman" w:eastAsia="Times New Roman" w:hAnsi="Times New Roman" w:cs="Times New Roman"/>
                <w:b/>
                <w:bCs/>
                <w:sz w:val="20"/>
                <w:szCs w:val="20"/>
                <w:lang w:eastAsia="pl-PL"/>
              </w:rPr>
              <w:t>11.10</w:t>
            </w:r>
            <w:r w:rsidR="00B64D6A" w:rsidRPr="00476321">
              <w:rPr>
                <w:rFonts w:ascii="Times New Roman" w:eastAsia="Times New Roman" w:hAnsi="Times New Roman" w:cs="Times New Roman"/>
                <w:b/>
                <w:bCs/>
                <w:sz w:val="20"/>
                <w:szCs w:val="20"/>
                <w:lang w:eastAsia="pl-PL"/>
              </w:rPr>
              <w:t>.2024r</w:t>
            </w:r>
            <w:r w:rsidR="00575EB1">
              <w:rPr>
                <w:rFonts w:ascii="Times New Roman" w:eastAsia="Times New Roman" w:hAnsi="Times New Roman" w:cs="Times New Roman"/>
                <w:b/>
                <w:bCs/>
                <w:sz w:val="20"/>
                <w:szCs w:val="20"/>
                <w:lang w:eastAsia="pl-PL"/>
              </w:rPr>
              <w:t xml:space="preserve"> </w:t>
            </w:r>
            <w:r w:rsidR="00575EB1" w:rsidRPr="00575EB1">
              <w:rPr>
                <w:rFonts w:ascii="Times New Roman" w:eastAsia="Times New Roman" w:hAnsi="Times New Roman" w:cs="Times New Roman"/>
                <w:sz w:val="20"/>
                <w:szCs w:val="20"/>
                <w:lang w:eastAsia="pl-PL"/>
              </w:rPr>
              <w:t>(na podstawie PNB nr 629/2024 z dnia 06.09.2024r)</w:t>
            </w:r>
          </w:p>
        </w:tc>
      </w:tr>
      <w:tr w:rsidR="005A58C0" w:rsidRPr="005A58C0" w14:paraId="35A52397" w14:textId="77777777" w:rsidTr="00E06B7E">
        <w:trPr>
          <w:trHeight w:val="195"/>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06ABC68A" w14:textId="51F5C521" w:rsidR="001B2EF6" w:rsidRPr="005A58C0" w:rsidRDefault="00BD7F5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Data zakończenia budowy domu jednorodzinnego</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EC632B" w14:textId="2B83D6FD"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151CA5" w:rsidRPr="005A58C0">
              <w:rPr>
                <w:rFonts w:ascii="Times New Roman" w:eastAsia="Times New Roman" w:hAnsi="Times New Roman" w:cs="Times New Roman"/>
                <w:sz w:val="20"/>
                <w:szCs w:val="20"/>
                <w:lang w:eastAsia="pl-PL"/>
              </w:rPr>
              <w:t>Nie dotyczy</w:t>
            </w:r>
          </w:p>
        </w:tc>
      </w:tr>
      <w:tr w:rsidR="005A58C0" w:rsidRPr="005A58C0" w14:paraId="7EC4A45D" w14:textId="77777777" w:rsidTr="00E06B7E">
        <w:trPr>
          <w:trHeight w:val="195"/>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B532FD3" w14:textId="77777777" w:rsidR="00151CA5" w:rsidRPr="005A58C0" w:rsidRDefault="00151CA5" w:rsidP="00151CA5">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Planowany termin rozpoczęcia i zakończenia robót budowlanych</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A2F43" w14:textId="6441AFD8" w:rsidR="00151CA5" w:rsidRPr="00C36B34" w:rsidRDefault="00151CA5" w:rsidP="00151CA5">
            <w:pPr>
              <w:shd w:val="clear" w:color="auto" w:fill="FFFFFF"/>
              <w:snapToGrid w:val="0"/>
              <w:spacing w:before="30" w:line="270" w:lineRule="exact"/>
              <w:rPr>
                <w:rFonts w:ascii="Times New Roman" w:eastAsia="Times New Roman" w:hAnsi="Times New Roman" w:cs="Times New Roman"/>
                <w:b/>
                <w:bCs/>
                <w:sz w:val="20"/>
                <w:szCs w:val="20"/>
                <w:lang w:eastAsia="pl-PL"/>
              </w:rPr>
            </w:pPr>
            <w:r w:rsidRPr="005A58C0">
              <w:rPr>
                <w:rFonts w:ascii="Times New Roman" w:eastAsia="Times New Roman" w:hAnsi="Times New Roman" w:cs="Times New Roman"/>
                <w:sz w:val="20"/>
                <w:szCs w:val="20"/>
                <w:lang w:eastAsia="pl-PL"/>
              </w:rPr>
              <w:t xml:space="preserve">Rozpoczęcie robót budowlanych: </w:t>
            </w:r>
            <w:r w:rsidR="00575EB1">
              <w:rPr>
                <w:rFonts w:ascii="Times New Roman" w:eastAsia="Times New Roman" w:hAnsi="Times New Roman" w:cs="Times New Roman"/>
                <w:b/>
                <w:bCs/>
                <w:sz w:val="20"/>
                <w:szCs w:val="20"/>
                <w:lang w:eastAsia="pl-PL"/>
              </w:rPr>
              <w:t>05</w:t>
            </w:r>
            <w:r w:rsidR="000F27EC" w:rsidRPr="00476321">
              <w:rPr>
                <w:rFonts w:ascii="Times New Roman" w:eastAsia="Times New Roman" w:hAnsi="Times New Roman" w:cs="Times New Roman"/>
                <w:b/>
                <w:bCs/>
                <w:sz w:val="20"/>
                <w:szCs w:val="20"/>
                <w:lang w:eastAsia="pl-PL"/>
              </w:rPr>
              <w:t xml:space="preserve"> </w:t>
            </w:r>
            <w:r w:rsidR="00575EB1">
              <w:rPr>
                <w:rFonts w:ascii="Times New Roman" w:eastAsia="Times New Roman" w:hAnsi="Times New Roman" w:cs="Times New Roman"/>
                <w:b/>
                <w:bCs/>
                <w:sz w:val="20"/>
                <w:szCs w:val="20"/>
                <w:lang w:eastAsia="pl-PL"/>
              </w:rPr>
              <w:t>luty</w:t>
            </w:r>
            <w:r w:rsidR="00385201" w:rsidRPr="00476321">
              <w:rPr>
                <w:rFonts w:ascii="Times New Roman" w:eastAsia="Times New Roman" w:hAnsi="Times New Roman" w:cs="Times New Roman"/>
                <w:b/>
                <w:bCs/>
                <w:sz w:val="20"/>
                <w:szCs w:val="20"/>
                <w:lang w:eastAsia="pl-PL"/>
              </w:rPr>
              <w:t xml:space="preserve"> 202</w:t>
            </w:r>
            <w:r w:rsidR="00616AE7" w:rsidRPr="00476321">
              <w:rPr>
                <w:rFonts w:ascii="Times New Roman" w:eastAsia="Times New Roman" w:hAnsi="Times New Roman" w:cs="Times New Roman"/>
                <w:b/>
                <w:bCs/>
                <w:sz w:val="20"/>
                <w:szCs w:val="20"/>
                <w:lang w:eastAsia="pl-PL"/>
              </w:rPr>
              <w:t>4</w:t>
            </w:r>
            <w:r w:rsidRPr="00476321">
              <w:rPr>
                <w:rFonts w:ascii="Times New Roman" w:eastAsia="Times New Roman" w:hAnsi="Times New Roman" w:cs="Times New Roman"/>
                <w:b/>
                <w:bCs/>
                <w:sz w:val="20"/>
                <w:szCs w:val="20"/>
                <w:lang w:eastAsia="pl-PL"/>
              </w:rPr>
              <w:t xml:space="preserve">r. </w:t>
            </w:r>
          </w:p>
          <w:p w14:paraId="783D8471" w14:textId="168F0084" w:rsidR="00151CA5" w:rsidRDefault="00151CA5" w:rsidP="00151CA5">
            <w:pPr>
              <w:shd w:val="clear" w:color="auto" w:fill="FFFFFF"/>
              <w:snapToGrid w:val="0"/>
              <w:spacing w:before="30" w:line="270" w:lineRule="exact"/>
              <w:rPr>
                <w:rFonts w:ascii="Times New Roman" w:eastAsia="Times New Roman" w:hAnsi="Times New Roman" w:cs="Times New Roman"/>
                <w:b/>
                <w:bCs/>
                <w:sz w:val="20"/>
                <w:szCs w:val="20"/>
                <w:lang w:eastAsia="pl-PL"/>
              </w:rPr>
            </w:pPr>
            <w:r w:rsidRPr="005A58C0">
              <w:rPr>
                <w:rFonts w:ascii="Times New Roman" w:eastAsia="Times New Roman" w:hAnsi="Times New Roman" w:cs="Times New Roman"/>
                <w:sz w:val="20"/>
                <w:szCs w:val="20"/>
                <w:lang w:eastAsia="pl-PL"/>
              </w:rPr>
              <w:t xml:space="preserve">Zakończenie robót budowlanych: </w:t>
            </w:r>
            <w:r w:rsidR="00C36B34" w:rsidRPr="00C36B34">
              <w:rPr>
                <w:rFonts w:ascii="Times New Roman" w:eastAsia="Times New Roman" w:hAnsi="Times New Roman" w:cs="Times New Roman"/>
                <w:b/>
                <w:bCs/>
                <w:sz w:val="20"/>
                <w:szCs w:val="20"/>
                <w:lang w:eastAsia="pl-PL"/>
              </w:rPr>
              <w:t>3</w:t>
            </w:r>
            <w:r w:rsidR="00902BA9">
              <w:rPr>
                <w:rFonts w:ascii="Times New Roman" w:eastAsia="Times New Roman" w:hAnsi="Times New Roman" w:cs="Times New Roman"/>
                <w:b/>
                <w:bCs/>
                <w:sz w:val="20"/>
                <w:szCs w:val="20"/>
                <w:lang w:eastAsia="pl-PL"/>
              </w:rPr>
              <w:t>1</w:t>
            </w:r>
            <w:r w:rsidR="00C00886" w:rsidRPr="00C36B34">
              <w:rPr>
                <w:rFonts w:ascii="Times New Roman" w:eastAsia="Times New Roman" w:hAnsi="Times New Roman" w:cs="Times New Roman"/>
                <w:b/>
                <w:bCs/>
                <w:sz w:val="20"/>
                <w:szCs w:val="20"/>
                <w:lang w:eastAsia="pl-PL"/>
              </w:rPr>
              <w:t xml:space="preserve"> </w:t>
            </w:r>
            <w:r w:rsidR="00902BA9">
              <w:rPr>
                <w:rFonts w:ascii="Times New Roman" w:eastAsia="Times New Roman" w:hAnsi="Times New Roman" w:cs="Times New Roman"/>
                <w:b/>
                <w:bCs/>
                <w:sz w:val="20"/>
                <w:szCs w:val="20"/>
                <w:lang w:eastAsia="pl-PL"/>
              </w:rPr>
              <w:t>grudzień</w:t>
            </w:r>
            <w:r w:rsidR="00EB39C3" w:rsidRPr="00C36B34">
              <w:rPr>
                <w:rFonts w:ascii="Times New Roman" w:eastAsia="Times New Roman" w:hAnsi="Times New Roman" w:cs="Times New Roman"/>
                <w:b/>
                <w:bCs/>
                <w:sz w:val="20"/>
                <w:szCs w:val="20"/>
                <w:lang w:eastAsia="pl-PL"/>
              </w:rPr>
              <w:t xml:space="preserve"> 2025</w:t>
            </w:r>
            <w:r w:rsidRPr="00C36B34">
              <w:rPr>
                <w:rFonts w:ascii="Times New Roman" w:eastAsia="Times New Roman" w:hAnsi="Times New Roman" w:cs="Times New Roman"/>
                <w:b/>
                <w:bCs/>
                <w:sz w:val="20"/>
                <w:szCs w:val="20"/>
                <w:lang w:eastAsia="pl-PL"/>
              </w:rPr>
              <w:t>r.</w:t>
            </w:r>
          </w:p>
          <w:p w14:paraId="615E6E91" w14:textId="486E60A9" w:rsidR="00C66953" w:rsidRPr="005A58C0" w:rsidRDefault="00C66953" w:rsidP="00151CA5">
            <w:pPr>
              <w:shd w:val="clear" w:color="auto" w:fill="FFFFFF"/>
              <w:snapToGrid w:val="0"/>
              <w:spacing w:before="30" w:line="270" w:lineRule="exact"/>
              <w:rPr>
                <w:rFonts w:ascii="Times New Roman" w:hAnsi="Times New Roman" w:cs="Times New Roman"/>
              </w:rPr>
            </w:pPr>
            <w:r>
              <w:rPr>
                <w:rFonts w:ascii="Times New Roman" w:hAnsi="Times New Roman" w:cs="Times New Roman"/>
              </w:rPr>
              <w:t xml:space="preserve">Pozwolenie na użytkowanie </w:t>
            </w:r>
            <w:r w:rsidR="00DA68B3" w:rsidRPr="00381B23">
              <w:rPr>
                <w:rFonts w:ascii="Times New Roman" w:hAnsi="Times New Roman" w:cs="Times New Roman"/>
                <w:b/>
                <w:bCs/>
                <w:sz w:val="20"/>
                <w:szCs w:val="20"/>
              </w:rPr>
              <w:t>3</w:t>
            </w:r>
            <w:r w:rsidR="00381B23" w:rsidRPr="00381B23">
              <w:rPr>
                <w:rFonts w:ascii="Times New Roman" w:hAnsi="Times New Roman" w:cs="Times New Roman"/>
                <w:b/>
                <w:bCs/>
                <w:sz w:val="20"/>
                <w:szCs w:val="20"/>
              </w:rPr>
              <w:t>0</w:t>
            </w:r>
            <w:r w:rsidR="00DA68B3" w:rsidRPr="00381B23">
              <w:rPr>
                <w:rFonts w:ascii="Times New Roman" w:hAnsi="Times New Roman" w:cs="Times New Roman"/>
                <w:b/>
                <w:bCs/>
                <w:sz w:val="20"/>
                <w:szCs w:val="20"/>
              </w:rPr>
              <w:t xml:space="preserve"> </w:t>
            </w:r>
            <w:r w:rsidR="00381B23" w:rsidRPr="00381B23">
              <w:rPr>
                <w:rFonts w:ascii="Times New Roman" w:hAnsi="Times New Roman" w:cs="Times New Roman"/>
                <w:b/>
                <w:bCs/>
                <w:sz w:val="20"/>
                <w:szCs w:val="20"/>
              </w:rPr>
              <w:t>styczeń</w:t>
            </w:r>
            <w:r w:rsidRPr="00381B23">
              <w:rPr>
                <w:rFonts w:ascii="Times New Roman" w:hAnsi="Times New Roman" w:cs="Times New Roman"/>
                <w:b/>
                <w:bCs/>
                <w:sz w:val="20"/>
                <w:szCs w:val="20"/>
              </w:rPr>
              <w:t xml:space="preserve"> 202</w:t>
            </w:r>
            <w:r w:rsidR="00381B23" w:rsidRPr="00381B23">
              <w:rPr>
                <w:rFonts w:ascii="Times New Roman" w:hAnsi="Times New Roman" w:cs="Times New Roman"/>
                <w:b/>
                <w:bCs/>
                <w:sz w:val="20"/>
                <w:szCs w:val="20"/>
              </w:rPr>
              <w:t xml:space="preserve">6 </w:t>
            </w:r>
            <w:r w:rsidRPr="00381B23">
              <w:rPr>
                <w:rFonts w:ascii="Times New Roman" w:hAnsi="Times New Roman" w:cs="Times New Roman"/>
                <w:b/>
                <w:bCs/>
                <w:sz w:val="20"/>
                <w:szCs w:val="20"/>
              </w:rPr>
              <w:t>r</w:t>
            </w:r>
          </w:p>
        </w:tc>
      </w:tr>
      <w:tr w:rsidR="005A58C0" w:rsidRPr="005A58C0" w14:paraId="4D2E1417" w14:textId="77777777" w:rsidTr="00151CA5">
        <w:trPr>
          <w:trHeight w:val="325"/>
        </w:trPr>
        <w:tc>
          <w:tcPr>
            <w:tcW w:w="2657" w:type="dxa"/>
            <w:vMerge w:val="restart"/>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58E26F02"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p>
          <w:p w14:paraId="01C976DF" w14:textId="77777777" w:rsidR="001B2EF6" w:rsidRPr="005A58C0"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lastRenderedPageBreak/>
              <w:t>Opis przedsięwzięcia deweloperskiego lub zadania inwestycyjnego</w:t>
            </w:r>
          </w:p>
          <w:p w14:paraId="28E20601"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20D28AA"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lastRenderedPageBreak/>
              <w:t xml:space="preserve">Liczba budynków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DDDB323" w14:textId="03D9E89E" w:rsidR="001B2EF6" w:rsidRPr="005A58C0" w:rsidRDefault="00616AE7"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Jeden budynek mieszkalny wielorodzinny z garażem podziemnym.</w:t>
            </w:r>
          </w:p>
        </w:tc>
      </w:tr>
      <w:tr w:rsidR="005A58C0" w:rsidRPr="005A58C0" w14:paraId="38D48A4B" w14:textId="77777777" w:rsidTr="00151CA5">
        <w:trPr>
          <w:trHeight w:val="325"/>
        </w:trPr>
        <w:tc>
          <w:tcPr>
            <w:tcW w:w="0" w:type="auto"/>
            <w:vMerge/>
            <w:tcBorders>
              <w:top w:val="nil"/>
              <w:left w:val="single" w:sz="8" w:space="0" w:color="auto"/>
              <w:bottom w:val="single" w:sz="8" w:space="0" w:color="auto"/>
              <w:right w:val="single" w:sz="8" w:space="0" w:color="auto"/>
            </w:tcBorders>
            <w:vAlign w:val="center"/>
            <w:hideMark/>
          </w:tcPr>
          <w:p w14:paraId="7BC5A70B" w14:textId="77777777" w:rsidR="001B2EF6" w:rsidRPr="005A58C0"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68A65864"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Rozmieszczenie budynków na nieruchomości (należy podać minimalny odstęp między budynkami)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E2663C0" w14:textId="77777777" w:rsidR="00616AE7" w:rsidRPr="005A58C0" w:rsidRDefault="001B2EF6" w:rsidP="00616AE7">
            <w:pPr>
              <w:shd w:val="clear" w:color="auto" w:fill="FFFFFF"/>
              <w:snapToGrid w:val="0"/>
              <w:spacing w:before="30" w:line="270" w:lineRule="exact"/>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p>
          <w:p w14:paraId="5099D6DC" w14:textId="6E7F211E" w:rsidR="001B2EF6" w:rsidRPr="005A58C0" w:rsidRDefault="00616AE7" w:rsidP="00616AE7">
            <w:pPr>
              <w:shd w:val="clear" w:color="auto" w:fill="FFFFFF"/>
              <w:snapToGrid w:val="0"/>
              <w:spacing w:before="30" w:line="270" w:lineRule="exact"/>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Nie dotyczy</w:t>
            </w:r>
          </w:p>
        </w:tc>
      </w:tr>
      <w:tr w:rsidR="005A58C0" w:rsidRPr="005A58C0" w14:paraId="339A839C" w14:textId="77777777" w:rsidTr="00F04563">
        <w:trPr>
          <w:trHeight w:val="488"/>
        </w:trPr>
        <w:tc>
          <w:tcPr>
            <w:tcW w:w="2657" w:type="dxa"/>
            <w:tcBorders>
              <w:top w:val="nil"/>
              <w:left w:val="single" w:sz="8" w:space="0" w:color="auto"/>
              <w:bottom w:val="single" w:sz="4" w:space="0" w:color="auto"/>
              <w:right w:val="single" w:sz="8" w:space="0" w:color="auto"/>
            </w:tcBorders>
            <w:shd w:val="clear" w:color="auto" w:fill="F3F3F3"/>
            <w:tcMar>
              <w:top w:w="0" w:type="dxa"/>
              <w:left w:w="108" w:type="dxa"/>
              <w:bottom w:w="0" w:type="dxa"/>
              <w:right w:w="108" w:type="dxa"/>
            </w:tcMar>
            <w:hideMark/>
          </w:tcPr>
          <w:p w14:paraId="4CCA26F4"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Sposób pomiaru powierzchni użytkowej lokalu mieszkalnego albo domu jednorodzinnego</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4D1CE2" w14:textId="68E26A1B" w:rsidR="00151CA5" w:rsidRPr="005A58C0" w:rsidRDefault="00151CA5" w:rsidP="00B435B1">
            <w:pPr>
              <w:pStyle w:val="pf0"/>
              <w:spacing w:before="0" w:beforeAutospacing="0" w:after="0" w:afterAutospacing="0"/>
              <w:jc w:val="both"/>
              <w:rPr>
                <w:b/>
                <w:bCs/>
                <w:sz w:val="20"/>
                <w:szCs w:val="20"/>
              </w:rPr>
            </w:pPr>
            <w:r w:rsidRPr="005A58C0">
              <w:rPr>
                <w:sz w:val="20"/>
                <w:szCs w:val="20"/>
              </w:rPr>
              <w:t xml:space="preserve">Powierzchnia lokalu zostanie obliczona jako powierzchnia użytkowa lokalu w rozumieniu ustawy z dnia 7 lipca 1994 r. Prawo budowlane (Dz.U. Nr 89, poz. 414) oraz </w:t>
            </w:r>
            <w:r w:rsidR="006968AB" w:rsidRPr="005A58C0">
              <w:rPr>
                <w:sz w:val="20"/>
                <w:szCs w:val="20"/>
                <w:shd w:val="clear" w:color="auto" w:fill="FFFFFF"/>
              </w:rPr>
              <w:t xml:space="preserve">ROZPORZĄDZENIE MINISTRA ROZWOJU z dnia 11 września 2020 r. w sprawie szczegółowego zakresu i formy projektu budowlanego </w:t>
            </w:r>
            <w:hyperlink r:id="rId11" w:history="1">
              <w:r w:rsidR="006968AB" w:rsidRPr="005A58C0">
                <w:rPr>
                  <w:sz w:val="20"/>
                  <w:szCs w:val="20"/>
                  <w:u w:val="single"/>
                  <w:shd w:val="clear" w:color="auto" w:fill="FFFFFF"/>
                </w:rPr>
                <w:t>Dz.U. 2022 poz. 1679</w:t>
              </w:r>
            </w:hyperlink>
            <w:r w:rsidR="00BE1070" w:rsidRPr="005A58C0">
              <w:rPr>
                <w:sz w:val="20"/>
                <w:szCs w:val="20"/>
              </w:rPr>
              <w:t xml:space="preserve"> </w:t>
            </w:r>
            <w:r w:rsidRPr="005A58C0">
              <w:rPr>
                <w:sz w:val="20"/>
                <w:szCs w:val="20"/>
              </w:rPr>
              <w:t xml:space="preserve">to jest zgodnie z polską normą </w:t>
            </w:r>
            <w:r w:rsidR="00BE1070" w:rsidRPr="005A58C0">
              <w:rPr>
                <w:rFonts w:eastAsiaTheme="minorHAnsi"/>
                <w:sz w:val="20"/>
                <w:szCs w:val="20"/>
                <w:u w:val="single"/>
                <w:lang w:eastAsia="en-US"/>
              </w:rPr>
              <w:t>PN-ISO 9836:2022-07</w:t>
            </w:r>
            <w:r w:rsidRPr="005A58C0">
              <w:rPr>
                <w:sz w:val="20"/>
                <w:szCs w:val="20"/>
              </w:rPr>
              <w:t>, z uwzględnieniem następujących zasad:</w:t>
            </w:r>
            <w:r w:rsidR="00BE1070" w:rsidRPr="005A58C0">
              <w:rPr>
                <w:sz w:val="20"/>
                <w:szCs w:val="20"/>
              </w:rPr>
              <w:t xml:space="preserve"> </w:t>
            </w:r>
          </w:p>
          <w:p w14:paraId="25F2F27E" w14:textId="77777777" w:rsidR="001B2EF6" w:rsidRPr="005A58C0" w:rsidRDefault="00151CA5" w:rsidP="00CB793F">
            <w:pPr>
              <w:pStyle w:val="Akapitzlist"/>
              <w:numPr>
                <w:ilvl w:val="0"/>
                <w:numId w:val="21"/>
              </w:numPr>
              <w:tabs>
                <w:tab w:val="left" w:pos="0"/>
              </w:tabs>
              <w:ind w:left="481" w:hanging="481"/>
              <w:jc w:val="both"/>
              <w:rPr>
                <w:lang w:eastAsia="pl-PL"/>
              </w:rPr>
            </w:pPr>
            <w:r w:rsidRPr="005A58C0">
              <w:rPr>
                <w:lang w:eastAsia="pl-PL"/>
              </w:rPr>
              <w:t>przez lokal mieszkalny należy rozumieć wydzielone trwałymi ścianami w obrębie budynku pomieszczenie lub zespół pomieszczeń przeznaczonych na stały pobyt ludzi, które wraz z pomieszczeniami pomocniczymi służą zaspokajaniu ich potrzeb mieszkaniowych,</w:t>
            </w:r>
            <w:r w:rsidR="00126844" w:rsidRPr="005A58C0">
              <w:rPr>
                <w:lang w:eastAsia="pl-PL"/>
              </w:rPr>
              <w:t xml:space="preserve"> </w:t>
            </w:r>
            <w:r w:rsidRPr="005A58C0">
              <w:rPr>
                <w:lang w:eastAsia="pl-PL"/>
              </w:rPr>
              <w:t>powierzchnię pomieszczeń lub ich części o wysokości w świetle równej lub większej od 2,20 m należy zaliczać do obliczeń w 100%, o wysokości równej lub większej od 1,40 m, lecz mniejszej od 2,20 m - w 50%, natomiast o wysokości mniejszej od 1,40 m pomija się całkowicie.</w:t>
            </w:r>
          </w:p>
          <w:p w14:paraId="024531F7" w14:textId="4D012311" w:rsidR="00BE1070" w:rsidRPr="005A58C0" w:rsidRDefault="00BE1070" w:rsidP="00B435B1">
            <w:pPr>
              <w:pStyle w:val="Akapitzlist"/>
              <w:tabs>
                <w:tab w:val="left" w:pos="0"/>
              </w:tabs>
              <w:jc w:val="both"/>
              <w:rPr>
                <w:lang w:eastAsia="pl-PL"/>
              </w:rPr>
            </w:pPr>
          </w:p>
        </w:tc>
      </w:tr>
      <w:tr w:rsidR="005A58C0" w:rsidRPr="005A58C0" w14:paraId="1ED75D39" w14:textId="77777777" w:rsidTr="00F04563">
        <w:tc>
          <w:tcPr>
            <w:tcW w:w="2657" w:type="dxa"/>
            <w:vMerge w:val="restart"/>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hideMark/>
          </w:tcPr>
          <w:p w14:paraId="49B7B7F6"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Zamierzony sposób i procentowy udział źródeł finansowania przedsięwzięcia deweloperskiego lub zadania inwestycyjnego</w:t>
            </w:r>
          </w:p>
          <w:p w14:paraId="2819435E"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p>
        </w:tc>
        <w:tc>
          <w:tcPr>
            <w:tcW w:w="3003"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6C3A2F4F"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Rodzaj posiadanych środków finansowych – kredyt, środki własne, inne</w:t>
            </w:r>
          </w:p>
        </w:tc>
        <w:tc>
          <w:tcPr>
            <w:tcW w:w="3969" w:type="dxa"/>
            <w:tcBorders>
              <w:top w:val="nil"/>
              <w:left w:val="nil"/>
              <w:bottom w:val="single" w:sz="4" w:space="0" w:color="auto"/>
              <w:right w:val="single" w:sz="8" w:space="0" w:color="auto"/>
            </w:tcBorders>
            <w:tcMar>
              <w:top w:w="0" w:type="dxa"/>
              <w:left w:w="108" w:type="dxa"/>
              <w:bottom w:w="0" w:type="dxa"/>
              <w:right w:w="108" w:type="dxa"/>
            </w:tcMar>
            <w:hideMark/>
          </w:tcPr>
          <w:p w14:paraId="024EF71E" w14:textId="2F24D92A" w:rsidR="00CB793F" w:rsidRPr="005A58C0" w:rsidRDefault="00EC30FB" w:rsidP="00F04563">
            <w:pPr>
              <w:shd w:val="clear" w:color="auto" w:fill="FFFFFF"/>
              <w:snapToGrid w:val="0"/>
              <w:spacing w:before="30" w:line="270" w:lineRule="exact"/>
              <w:rPr>
                <w:rFonts w:ascii="Times New Roman" w:hAnsi="Times New Roman" w:cs="Times New Roman"/>
                <w:sz w:val="20"/>
                <w:szCs w:val="20"/>
              </w:rPr>
            </w:pPr>
            <w:r>
              <w:rPr>
                <w:rFonts w:ascii="Times New Roman" w:hAnsi="Times New Roman" w:cs="Times New Roman"/>
                <w:b/>
                <w:sz w:val="20"/>
                <w:szCs w:val="20"/>
              </w:rPr>
              <w:t>32</w:t>
            </w:r>
            <w:r w:rsidR="004E600F">
              <w:rPr>
                <w:rFonts w:ascii="Times New Roman" w:hAnsi="Times New Roman" w:cs="Times New Roman"/>
                <w:b/>
                <w:sz w:val="20"/>
                <w:szCs w:val="20"/>
              </w:rPr>
              <w:t>,49</w:t>
            </w:r>
            <w:r w:rsidR="007A12E9" w:rsidRPr="005A58C0">
              <w:rPr>
                <w:rFonts w:ascii="Times New Roman" w:hAnsi="Times New Roman" w:cs="Times New Roman"/>
                <w:b/>
                <w:sz w:val="20"/>
                <w:szCs w:val="20"/>
              </w:rPr>
              <w:t>%</w:t>
            </w:r>
            <w:r w:rsidR="007A12E9" w:rsidRPr="005A58C0">
              <w:rPr>
                <w:rFonts w:ascii="Arial" w:hAnsi="Arial" w:cs="Arial"/>
                <w:b/>
              </w:rPr>
              <w:t xml:space="preserve"> </w:t>
            </w:r>
            <w:r w:rsidR="00151CA5" w:rsidRPr="005A58C0">
              <w:rPr>
                <w:rFonts w:ascii="Times New Roman" w:hAnsi="Times New Roman" w:cs="Times New Roman"/>
                <w:sz w:val="20"/>
                <w:szCs w:val="20"/>
              </w:rPr>
              <w:t>ze środków własnych</w:t>
            </w:r>
            <w:r w:rsidR="00745E59" w:rsidRPr="005A58C0">
              <w:rPr>
                <w:rFonts w:ascii="Times New Roman" w:hAnsi="Times New Roman" w:cs="Times New Roman"/>
                <w:sz w:val="20"/>
                <w:szCs w:val="20"/>
              </w:rPr>
              <w:t xml:space="preserve"> </w:t>
            </w:r>
          </w:p>
          <w:p w14:paraId="0F35D274" w14:textId="47EBC7F2" w:rsidR="001B2EF6" w:rsidRPr="005A58C0" w:rsidRDefault="00EC30FB" w:rsidP="00F04563">
            <w:pPr>
              <w:shd w:val="clear" w:color="auto" w:fill="FFFFFF"/>
              <w:snapToGrid w:val="0"/>
              <w:spacing w:before="30" w:line="270" w:lineRule="exact"/>
              <w:rPr>
                <w:rFonts w:ascii="Times New Roman" w:hAnsi="Times New Roman" w:cs="Times New Roman"/>
                <w:sz w:val="20"/>
                <w:szCs w:val="20"/>
              </w:rPr>
            </w:pPr>
            <w:r>
              <w:rPr>
                <w:rFonts w:ascii="Times New Roman" w:hAnsi="Times New Roman" w:cs="Times New Roman"/>
                <w:b/>
                <w:sz w:val="20"/>
                <w:szCs w:val="20"/>
              </w:rPr>
              <w:t>6</w:t>
            </w:r>
            <w:r w:rsidR="004E600F">
              <w:rPr>
                <w:rFonts w:ascii="Times New Roman" w:hAnsi="Times New Roman" w:cs="Times New Roman"/>
                <w:b/>
                <w:sz w:val="20"/>
                <w:szCs w:val="20"/>
              </w:rPr>
              <w:t>7,51</w:t>
            </w:r>
            <w:r w:rsidR="007A12E9" w:rsidRPr="005A58C0">
              <w:rPr>
                <w:rFonts w:ascii="Times New Roman" w:hAnsi="Times New Roman" w:cs="Times New Roman"/>
                <w:b/>
                <w:sz w:val="20"/>
                <w:szCs w:val="20"/>
              </w:rPr>
              <w:t>%</w:t>
            </w:r>
            <w:r w:rsidR="007A12E9" w:rsidRPr="005A58C0">
              <w:rPr>
                <w:rFonts w:ascii="Arial" w:hAnsi="Arial" w:cs="Arial"/>
                <w:b/>
              </w:rPr>
              <w:t xml:space="preserve"> </w:t>
            </w:r>
            <w:r w:rsidR="00151CA5" w:rsidRPr="005A58C0">
              <w:rPr>
                <w:rFonts w:ascii="Times New Roman" w:hAnsi="Times New Roman" w:cs="Times New Roman"/>
                <w:sz w:val="20"/>
                <w:szCs w:val="20"/>
              </w:rPr>
              <w:t>z</w:t>
            </w:r>
            <w:r w:rsidR="00F04563" w:rsidRPr="005A58C0">
              <w:rPr>
                <w:rFonts w:ascii="Times New Roman" w:hAnsi="Times New Roman" w:cs="Times New Roman"/>
                <w:sz w:val="20"/>
                <w:szCs w:val="20"/>
              </w:rPr>
              <w:t xml:space="preserve"> kredytu</w:t>
            </w:r>
            <w:r w:rsidR="00745E59" w:rsidRPr="005A58C0">
              <w:rPr>
                <w:rFonts w:ascii="Times New Roman" w:hAnsi="Times New Roman" w:cs="Times New Roman"/>
                <w:sz w:val="20"/>
                <w:szCs w:val="20"/>
              </w:rPr>
              <w:t xml:space="preserve"> w mBanku </w:t>
            </w:r>
          </w:p>
        </w:tc>
      </w:tr>
      <w:tr w:rsidR="005A58C0" w:rsidRPr="005A58C0" w14:paraId="344704E2" w14:textId="77777777" w:rsidTr="00F04563">
        <w:tc>
          <w:tcPr>
            <w:tcW w:w="0" w:type="auto"/>
            <w:vMerge/>
            <w:tcBorders>
              <w:top w:val="single" w:sz="4" w:space="0" w:color="auto"/>
              <w:left w:val="single" w:sz="4" w:space="0" w:color="auto"/>
              <w:bottom w:val="single" w:sz="4" w:space="0" w:color="auto"/>
              <w:right w:val="single" w:sz="4" w:space="0" w:color="auto"/>
            </w:tcBorders>
            <w:vAlign w:val="center"/>
            <w:hideMark/>
          </w:tcPr>
          <w:p w14:paraId="47200635" w14:textId="77777777" w:rsidR="001B2EF6" w:rsidRPr="005A58C0"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B096E"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 następujących instytucjach finansowych (wypełnia się w przypadku kredytu)</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753"/>
            </w:tblGrid>
            <w:tr w:rsidR="005A58C0" w:rsidRPr="005A58C0" w14:paraId="7A953C44" w14:textId="77777777" w:rsidTr="00385201">
              <w:tc>
                <w:tcPr>
                  <w:tcW w:w="6360" w:type="dxa"/>
                  <w:hideMark/>
                </w:tcPr>
                <w:p w14:paraId="08428281" w14:textId="742418C7" w:rsidR="00385201" w:rsidRPr="005A58C0" w:rsidRDefault="00385201" w:rsidP="00A2273D">
                  <w:pPr>
                    <w:spacing w:line="240" w:lineRule="auto"/>
                    <w:rPr>
                      <w:rFonts w:ascii="Times New Roman" w:hAnsi="Times New Roman" w:cs="Times New Roman"/>
                      <w:sz w:val="20"/>
                      <w:szCs w:val="20"/>
                    </w:rPr>
                  </w:pPr>
                  <w:r w:rsidRPr="005A58C0">
                    <w:rPr>
                      <w:rFonts w:ascii="Times New Roman" w:hAnsi="Times New Roman" w:cs="Times New Roman"/>
                      <w:sz w:val="20"/>
                      <w:szCs w:val="20"/>
                    </w:rPr>
                    <w:t>mBank S.A.</w:t>
                  </w:r>
                  <w:r w:rsidR="00A2273D" w:rsidRPr="005A58C0">
                    <w:rPr>
                      <w:rFonts w:ascii="Times New Roman" w:hAnsi="Times New Roman" w:cs="Times New Roman"/>
                      <w:sz w:val="20"/>
                      <w:szCs w:val="20"/>
                    </w:rPr>
                    <w:t xml:space="preserve"> z siedzibą w Warszawie</w:t>
                  </w:r>
                  <w:r w:rsidRPr="005A58C0">
                    <w:rPr>
                      <w:rFonts w:ascii="Times New Roman" w:hAnsi="Times New Roman" w:cs="Times New Roman"/>
                      <w:sz w:val="20"/>
                      <w:szCs w:val="20"/>
                    </w:rPr>
                    <w:t>;</w:t>
                  </w:r>
                  <w:r w:rsidR="00A2273D" w:rsidRPr="005A58C0">
                    <w:rPr>
                      <w:rFonts w:ascii="Times New Roman" w:hAnsi="Times New Roman" w:cs="Times New Roman"/>
                      <w:sz w:val="20"/>
                      <w:szCs w:val="20"/>
                    </w:rPr>
                    <w:t xml:space="preserve"> Oddział Korporacyjny w Poznaniu, </w:t>
                  </w:r>
                  <w:r w:rsidRPr="005A58C0">
                    <w:rPr>
                      <w:rFonts w:ascii="Times New Roman" w:hAnsi="Times New Roman" w:cs="Times New Roman"/>
                      <w:sz w:val="20"/>
                      <w:szCs w:val="20"/>
                    </w:rPr>
                    <w:t xml:space="preserve"> ul. Roosevelta 22</w:t>
                  </w:r>
                  <w:r w:rsidR="00A2273D" w:rsidRPr="005A58C0">
                    <w:rPr>
                      <w:rFonts w:ascii="Times New Roman" w:hAnsi="Times New Roman" w:cs="Times New Roman"/>
                      <w:sz w:val="20"/>
                      <w:szCs w:val="20"/>
                    </w:rPr>
                    <w:t>, 60-829 Poznań</w:t>
                  </w:r>
                </w:p>
              </w:tc>
            </w:tr>
            <w:tr w:rsidR="005A58C0" w:rsidRPr="005A58C0" w14:paraId="0D7DFEC0" w14:textId="77777777" w:rsidTr="00385201">
              <w:tc>
                <w:tcPr>
                  <w:tcW w:w="6360" w:type="dxa"/>
                  <w:hideMark/>
                </w:tcPr>
                <w:p w14:paraId="14A15D1E" w14:textId="6DBC3B97" w:rsidR="00385201" w:rsidRPr="005A58C0" w:rsidRDefault="00385201" w:rsidP="00A2273D">
                  <w:pPr>
                    <w:autoSpaceDE w:val="0"/>
                    <w:autoSpaceDN w:val="0"/>
                    <w:spacing w:line="240" w:lineRule="auto"/>
                    <w:rPr>
                      <w:rFonts w:ascii="Times New Roman" w:hAnsi="Times New Roman" w:cs="Times New Roman"/>
                    </w:rPr>
                  </w:pPr>
                </w:p>
              </w:tc>
            </w:tr>
          </w:tbl>
          <w:p w14:paraId="00C58334" w14:textId="2DDE12DB" w:rsidR="00385201" w:rsidRPr="005A58C0" w:rsidRDefault="00385201" w:rsidP="001B2EF6">
            <w:pPr>
              <w:autoSpaceDN w:val="0"/>
              <w:spacing w:before="144" w:after="144" w:line="240" w:lineRule="auto"/>
              <w:jc w:val="both"/>
              <w:rPr>
                <w:rFonts w:ascii="Times New Roman" w:eastAsia="Times New Roman" w:hAnsi="Times New Roman" w:cs="Times New Roman"/>
                <w:sz w:val="20"/>
                <w:szCs w:val="20"/>
                <w:lang w:eastAsia="pl-PL"/>
              </w:rPr>
            </w:pPr>
          </w:p>
        </w:tc>
      </w:tr>
      <w:tr w:rsidR="005A58C0" w:rsidRPr="005A58C0" w14:paraId="7FB4FB70" w14:textId="77777777" w:rsidTr="00F04563">
        <w:trPr>
          <w:trHeight w:val="1481"/>
        </w:trPr>
        <w:tc>
          <w:tcPr>
            <w:tcW w:w="2657" w:type="dxa"/>
            <w:vMerge w:val="restart"/>
            <w:tcBorders>
              <w:top w:val="single" w:sz="4"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3932546" w14:textId="77777777" w:rsidR="001B2EF6" w:rsidRPr="005A58C0"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Środki ochrony nabywców</w:t>
            </w:r>
          </w:p>
        </w:tc>
        <w:tc>
          <w:tcPr>
            <w:tcW w:w="30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09C53C"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Otwarty mieszkaniowy rachunek powierniczy*</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E065FB"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trike/>
                <w:sz w:val="20"/>
                <w:szCs w:val="20"/>
                <w:lang w:eastAsia="pl-PL"/>
              </w:rPr>
            </w:pPr>
            <w:r w:rsidRPr="005A58C0">
              <w:rPr>
                <w:rFonts w:ascii="Times New Roman" w:eastAsia="Times New Roman" w:hAnsi="Times New Roman" w:cs="Times New Roman"/>
                <w:strike/>
                <w:sz w:val="20"/>
                <w:szCs w:val="20"/>
                <w:lang w:eastAsia="pl-PL"/>
              </w:rPr>
              <w:t>Zamknięty mieszkaniowy rachunek powierniczy*</w:t>
            </w:r>
          </w:p>
        </w:tc>
      </w:tr>
      <w:tr w:rsidR="005A58C0" w:rsidRPr="005A58C0" w14:paraId="60863EEF" w14:textId="77777777" w:rsidTr="00151CA5">
        <w:tc>
          <w:tcPr>
            <w:tcW w:w="0" w:type="auto"/>
            <w:vMerge/>
            <w:tcBorders>
              <w:top w:val="nil"/>
              <w:left w:val="single" w:sz="8" w:space="0" w:color="auto"/>
              <w:bottom w:val="single" w:sz="8" w:space="0" w:color="auto"/>
              <w:right w:val="single" w:sz="8" w:space="0" w:color="auto"/>
            </w:tcBorders>
            <w:vAlign w:val="center"/>
            <w:hideMark/>
          </w:tcPr>
          <w:p w14:paraId="5D1EECCD" w14:textId="77777777" w:rsidR="001B2EF6" w:rsidRPr="005A58C0" w:rsidRDefault="001B2EF6" w:rsidP="001B2EF6">
            <w:pPr>
              <w:spacing w:after="0" w:line="240" w:lineRule="auto"/>
              <w:rPr>
                <w:rFonts w:ascii="Times New Roman" w:eastAsia="Times New Roman" w:hAnsi="Times New Roman" w:cs="Times New Roman"/>
                <w:sz w:val="20"/>
                <w:szCs w:val="20"/>
                <w:lang w:eastAsia="pl-PL"/>
              </w:rPr>
            </w:pPr>
          </w:p>
        </w:tc>
        <w:tc>
          <w:tcPr>
            <w:tcW w:w="3003" w:type="dxa"/>
            <w:tcBorders>
              <w:top w:val="nil"/>
              <w:left w:val="nil"/>
              <w:bottom w:val="single" w:sz="8" w:space="0" w:color="auto"/>
              <w:right w:val="single" w:sz="8" w:space="0" w:color="auto"/>
            </w:tcBorders>
            <w:tcMar>
              <w:top w:w="0" w:type="dxa"/>
              <w:left w:w="108" w:type="dxa"/>
              <w:bottom w:w="0" w:type="dxa"/>
              <w:right w:w="108" w:type="dxa"/>
            </w:tcMar>
            <w:hideMark/>
          </w:tcPr>
          <w:p w14:paraId="066F4AB8" w14:textId="217FDE8D" w:rsidR="001B2EF6" w:rsidRPr="005A58C0" w:rsidRDefault="001B2EF6" w:rsidP="000600F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Wysokość stawki procentowej, według której jest obliczana kwota składki na Deweloperski Fundusz Gwarancyjny</w:t>
            </w:r>
            <w:r w:rsidR="000600F4" w:rsidRPr="005A58C0">
              <w:rPr>
                <w:rStyle w:val="Odwoanieprzypisudolnego"/>
                <w:rFonts w:ascii="Times New Roman" w:eastAsia="Times New Roman" w:hAnsi="Times New Roman" w:cs="Times New Roman"/>
                <w:sz w:val="20"/>
                <w:szCs w:val="20"/>
                <w:vertAlign w:val="superscript"/>
                <w:lang w:eastAsia="pl-PL"/>
              </w:rPr>
              <w:footnoteReference w:id="7"/>
            </w:r>
            <w:r w:rsidR="000600F4" w:rsidRPr="005A58C0">
              <w:rPr>
                <w:rFonts w:ascii="Times New Roman" w:eastAsia="Times New Roman" w:hAnsi="Times New Roman" w:cs="Times New Roman"/>
                <w:sz w:val="20"/>
                <w:szCs w:val="20"/>
                <w:vertAlign w:val="superscript"/>
                <w:lang w:eastAsia="pl-PL"/>
              </w:rPr>
              <w:t>)</w:t>
            </w:r>
            <w:r w:rsidRPr="005A58C0">
              <w:rPr>
                <w:rFonts w:ascii="Times New Roman" w:eastAsia="Times New Roman" w:hAnsi="Times New Roman" w:cs="Times New Roman"/>
                <w:sz w:val="20"/>
                <w:szCs w:val="20"/>
                <w:lang w:eastAsia="pl-PL"/>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6922AF0" w14:textId="4DF98D2B"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084458" w:rsidRPr="005A58C0">
              <w:rPr>
                <w:rFonts w:ascii="Times New Roman" w:eastAsia="Times New Roman" w:hAnsi="Times New Roman" w:cs="Times New Roman"/>
                <w:sz w:val="20"/>
                <w:szCs w:val="20"/>
                <w:lang w:eastAsia="pl-PL"/>
              </w:rPr>
              <w:t>0,45 %</w:t>
            </w:r>
          </w:p>
        </w:tc>
      </w:tr>
      <w:tr w:rsidR="005A58C0" w:rsidRPr="005A58C0" w14:paraId="25ECB52E" w14:textId="77777777" w:rsidTr="00E06B7E">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9293982" w14:textId="77777777" w:rsidR="00F04563" w:rsidRPr="005A58C0" w:rsidRDefault="00F04563" w:rsidP="00F04563">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Główne zasady funkcjonowania wybranego rodzaju zabezpieczenia środków nabywcy</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3B4914" w14:textId="377C79A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1. Umowa o prowadzenie otwartego mieszkaniowego rachunku powierniczego została zawarta w celu zapewnienia ochrony wpłat dokonywanych przez Nabywców lokali mieszkalnych w ramach Przedsięwzięcia deweloperskiego </w:t>
            </w:r>
            <w:r w:rsidR="00655309" w:rsidRPr="005A58C0">
              <w:rPr>
                <w:rFonts w:ascii="Times New Roman" w:eastAsia="Times New Roman" w:hAnsi="Times New Roman" w:cs="Times New Roman"/>
                <w:b/>
                <w:bCs/>
                <w:sz w:val="20"/>
                <w:szCs w:val="20"/>
                <w:lang w:eastAsia="pl-PL"/>
              </w:rPr>
              <w:t>Poznań/Na Miasteczku</w:t>
            </w:r>
            <w:r w:rsidR="00655309" w:rsidRPr="005A58C0">
              <w:rPr>
                <w:rFonts w:ascii="Times New Roman" w:eastAsia="Times New Roman" w:hAnsi="Times New Roman" w:cs="Times New Roman"/>
                <w:sz w:val="20"/>
                <w:szCs w:val="20"/>
                <w:lang w:eastAsia="pl-PL"/>
              </w:rPr>
              <w:t xml:space="preserve"> </w:t>
            </w:r>
            <w:r w:rsidRPr="005A58C0">
              <w:rPr>
                <w:rFonts w:ascii="Times New Roman" w:eastAsia="Times New Roman" w:hAnsi="Times New Roman" w:cs="Times New Roman"/>
                <w:sz w:val="20"/>
                <w:szCs w:val="20"/>
                <w:lang w:eastAsia="pl-PL"/>
              </w:rPr>
              <w:t xml:space="preserve">na podstawie Umów deweloperskich zawieranych w formie aktów notarialnych pomiędzy Deweloperem a Nabywcami, zgodnie z przepisami ustawy o ochronie praw nabywcy lokalu mieszkalnego lub domu jednorodzinnego. </w:t>
            </w:r>
          </w:p>
          <w:p w14:paraId="7A6F368A"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2. Bank zobowiązał się względem Dewelopera do przechowywania środków pieniężnych wpłaconych przez Nabywców na otwarty mieszkaniowy rachunek powierniczy oraz do realizacji dyspozycji Dewelopera wypłat środków pieniężnych, zdeponowanych przez poszczególnych Nabywców, na wskazany w treści dyspozycji </w:t>
            </w:r>
            <w:r w:rsidRPr="005A58C0">
              <w:rPr>
                <w:rFonts w:ascii="Times New Roman" w:eastAsia="Times New Roman" w:hAnsi="Times New Roman" w:cs="Times New Roman"/>
                <w:sz w:val="20"/>
                <w:szCs w:val="20"/>
                <w:lang w:eastAsia="pl-PL"/>
              </w:rPr>
              <w:lastRenderedPageBreak/>
              <w:t xml:space="preserve">Dewelopera rachunek złotowy, prowadzony w banku krajowym lub do zwrotu środków pieniężnych Nabywcom w przypadkach określonych w Umowie. </w:t>
            </w:r>
          </w:p>
          <w:p w14:paraId="178C47C4"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3. Deweloper w treści Umowy deweloperskiej przyporządkowuje każdemu z Nabywców wirtualny numer otwartego mieszkaniowego rachunku powierniczego, wygenerowany zgodnie z treścią Umowy.</w:t>
            </w:r>
          </w:p>
          <w:p w14:paraId="7BA9F8F3"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4. Deweloper zobowiązany jest zawiadomić Bank o zakończeniu danego etapu realizacji Przedsięwzięcia deweloperskiego i złożyć dyspozycję wypłaty środków pieniężnych; Bank odmawia wykonania dyspozycji Dewelopera dotyczącej etapu realizacji Przedsięwzięcia deweloperskiego, którego zakończenia Bank nie stwierdził; po stwierdzeniu przez Bank zakończenia danego etapu realizacji Przedsięwzięcia deweloperskiego, zgodnie z harmonogramem Przedsięwzięcia deweloperskiego (określonym w prospekcie informacyjnym), na podstawie dyspozycji, o której mowa powyżej – Bank wypłaca Deweloperowi z otwartego mieszkaniowego rachunku powierniczego środki pieniężne w określonej w umowie wysokości; wypłatą zostaną objęte środki wpłacone na otwarty mieszkaniowy rachunek powierniczy przez Nabywców, w odniesieniu do których Deweloper złożył w Banku Oświadczenia. </w:t>
            </w:r>
          </w:p>
          <w:p w14:paraId="42C07ECF"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5. Deweloper zobowiązuje się dysponować środkami wypłacanymi z otwartego mieszkaniowego rachunku powierniczego wyłącznie w celu realizacji Przedsięwzięcia deweloperskiego. </w:t>
            </w:r>
          </w:p>
          <w:p w14:paraId="6DCDA0D7"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6. Umowę zawarto na czas oznaczony, tj. do dnia rozliczenia ostatniej Umowy deweloperskiej, z której wpłaty skierowane zostały na otwarty mieszkaniowy rachunek powierniczy w Banku. O fakcie rozliczenia ostatniej Umowy deweloperskiej Deweloper zobowiązuje się niezwłocznie poinformować Bank na piśmie. O zamknięciu otwartego mieszkaniowego rachunku powierniczego na skutek upływu czasu, na jaki Umowa mieszkaniowego rachunku powierniczego została zawarta Bank zawiadamia Dewelopera na piśmie. </w:t>
            </w:r>
          </w:p>
          <w:p w14:paraId="04A0498D"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7. Bank może rozwiązać Umowę z zachowaniem 60-dniowego okresu wypowiedzenia zgodnie z Regulaminem, z ważnych powodów określonych w Regulaminie; W przypadku wypowiedzenia przez Bank Umowy i złożenia przez Dewelopera dyspozycji przelewu środków zgromadzonych na mieszkaniowym rachunku powierniczym, prowadzonym na podstawie Umowy, na mieszkaniowy rachunek powierniczy Dewelopera w innym banku, w terminie 60 dni od dnia wypowiedzenia tej Umowy, Bank przelewa środki zgromadzone na mieszkaniowym rachunku powierniczym na wskazany przez Dewelopera mieszkaniowy rachunek powierniczy Dewelopera w innym banku. W przypadku wypowiedzenia przez Bank Umowy i niezłożenia przez Dewelopera dyspozycji przelewu środków, o którym mowa w zdaniu poprzedzającym, Bank zwraca Nabywcom środki znajdujące się na mieszkaniowym rachunku powierniczym. </w:t>
            </w:r>
          </w:p>
          <w:p w14:paraId="14325A00"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8. W przypadku rozwiązania Umowy deweloperskiej, Bank wypłaci środki zgromadzone na mieszkaniowym rachunku powierniczym na podstawie zgodnych oświadczeń woli Dewelopera i Nabywcy o sposobie podziału środków pieniężnych zgromadzonych przez Nabywcę na mieszkaniowym rachunku powierniczym. Warunkiem realizacji wypłaty, o której mowa powyżej, jest złożenie w Banku umowy w formie aktu notarialnego rozwiązującej Umowę deweloperską lub innego dokumentu lub dokumentów z podpisem - zawierających zgodne oświadczenia woli Dewelopera i Nabywcy o sposobie podziału środków pieniężnych zgromadzonych przez Nabywcę na mieszkaniowym rachunku powierniczym, przy czym w przypadku innego dokumentu lub dokumentów podpis Nabywcy powinien być notarialnie poświadczony. </w:t>
            </w:r>
          </w:p>
          <w:p w14:paraId="6AB3792E"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9. W przypadku odstąpienia od Umowy deweloperskiej przez Dewelopera albo Nabywcę, Bank wypłaca Nabywcy przypadające mu środki pozostałe na </w:t>
            </w:r>
            <w:r w:rsidRPr="005A58C0">
              <w:rPr>
                <w:rFonts w:ascii="Times New Roman" w:eastAsia="Times New Roman" w:hAnsi="Times New Roman" w:cs="Times New Roman"/>
                <w:sz w:val="20"/>
                <w:szCs w:val="20"/>
                <w:lang w:eastAsia="pl-PL"/>
              </w:rPr>
              <w:lastRenderedPageBreak/>
              <w:t xml:space="preserve">mieszkaniowym rachunku powierniczym po otrzymaniu i weryfikacji następujących dokumentów: </w:t>
            </w:r>
          </w:p>
          <w:p w14:paraId="023CC8FC"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a) oryginału (lub kopii) oświadczenia Dewelopera lub Nabywcy o odstąpieniu od Umowy deweloperskiej, zawierającego powołanie podstawy odstąpienia, przy czym oświadczenie woli Dewelopera o odstąpieniu od Umowy deweloperskiej powinno zostać złożone w formie pisemnej, a oświadczenie woli Nabywcy o odstąpieniu od Umowy deweloperskiej powinno zostać złożone Deweloperowi w formie pisemnej z podpisami notarialnie poświadczonymi, </w:t>
            </w:r>
          </w:p>
          <w:p w14:paraId="70F714E8"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b) oryginału (lub kopii) oświadczenia Nabywcy, złożonego w formie pisemnej z podpisami notarialnie poświadczonymi, o zgodzie na wykreślenie z właściwej księgi wieczystej roszczenia o przeniesienie własności nieruchomości – w przypadku, gdy odstępującym od Umowy deweloperskiej jest Nabywca, </w:t>
            </w:r>
          </w:p>
          <w:p w14:paraId="51E9EC50"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c) dowodu doręczenia oświadczenia o odstąpieniu od Umowy deweloperskiej drugiej stronie Umowy deweloperskiej - jeżeli z żądaniem wypłaty występuje strona odstępująca od Umowy deweloperskiej. </w:t>
            </w:r>
          </w:p>
          <w:p w14:paraId="161B965A"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10. Z tytułu Umowy Bank pobiera prowizje i opłaty określone w Załączniku do Umowy, które obciążają Dewelopera. </w:t>
            </w:r>
          </w:p>
          <w:p w14:paraId="3B63B3A4" w14:textId="77777777" w:rsidR="00F04563" w:rsidRPr="005A58C0" w:rsidRDefault="00F04563" w:rsidP="00655309">
            <w:pPr>
              <w:spacing w:beforeLines="60" w:before="144" w:afterLines="60" w:after="144"/>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11. Umowa nie może ulec zmianie bez zgody Nabywcy, z wyjątkiem oprocentowania środków pieniężnych gromadzonych na otwartym mieszkaniowym rachunku powierniczym. </w:t>
            </w:r>
          </w:p>
          <w:p w14:paraId="7AEF7636" w14:textId="77777777" w:rsidR="00F04563" w:rsidRPr="005A58C0" w:rsidRDefault="00F04563" w:rsidP="00655309">
            <w:pPr>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12. W przypadku otrzymania przez Bank zawiadomienia od banku kredytującego nabycie lokalu przez Nabywcę o korzystanie Nabywcy z dofinansowania wkładu własnego ze środków budżetu państwa i o odstąpieniu przez Nabywcę lub Dewelopera od Umowy deweloperskiej, Deweloper zobowiązuje się do zapłaty tych środków Bankowi i jeżeli saldo rachunku wirtualnego przypisanego Nabywcy nie pozwala na zwrot środków, o których mowa powyżej, Deweloper upoważnia Bank do pobrania z rachunku rozliczeniowego Dewelopera środki stanowiące ewentualną różnicę pomiędzy kwotą dofinansowania podlegająca zwrotowi, a środkami znajdującymi się na subkoncie przypisanym Nabywcy.</w:t>
            </w:r>
          </w:p>
          <w:p w14:paraId="1B4AF6D9" w14:textId="7E6FC73C" w:rsidR="00F04563" w:rsidRPr="005A58C0" w:rsidRDefault="00F04563" w:rsidP="00655309">
            <w:pPr>
              <w:autoSpaceDN w:val="0"/>
              <w:spacing w:before="144" w:after="144" w:line="240" w:lineRule="auto"/>
              <w:jc w:val="both"/>
              <w:rPr>
                <w:rFonts w:ascii="Times New Roman" w:eastAsia="Times New Roman" w:hAnsi="Times New Roman" w:cs="Times New Roman"/>
                <w:sz w:val="20"/>
                <w:szCs w:val="20"/>
                <w:lang w:eastAsia="pl-PL"/>
              </w:rPr>
            </w:pPr>
          </w:p>
        </w:tc>
      </w:tr>
      <w:tr w:rsidR="005A58C0" w:rsidRPr="005A58C0" w14:paraId="4F27F6AF" w14:textId="77777777" w:rsidTr="00E06B7E">
        <w:trPr>
          <w:trHeight w:val="293"/>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04EF7118" w14:textId="77777777" w:rsidR="00F04563" w:rsidRPr="005A58C0" w:rsidRDefault="00F04563" w:rsidP="00F04563">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lastRenderedPageBreak/>
              <w:t>Nazwa instytucji zapewniającej bezpieczeństwo środków nabywcy</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6756"/>
            </w:tblGrid>
            <w:tr w:rsidR="005A58C0" w:rsidRPr="005A58C0" w14:paraId="603841C0" w14:textId="77777777" w:rsidTr="00655309">
              <w:tc>
                <w:tcPr>
                  <w:tcW w:w="8431" w:type="dxa"/>
                  <w:hideMark/>
                </w:tcPr>
                <w:p w14:paraId="4623A330" w14:textId="1D12A08F" w:rsidR="00655309" w:rsidRPr="005A58C0" w:rsidRDefault="00F04563" w:rsidP="00655309">
                  <w:pPr>
                    <w:spacing w:line="276" w:lineRule="auto"/>
                    <w:rPr>
                      <w:rFonts w:ascii="Times New Roman" w:hAnsi="Times New Roman" w:cs="Times New Roman"/>
                      <w:sz w:val="20"/>
                      <w:szCs w:val="20"/>
                    </w:rPr>
                  </w:pPr>
                  <w:r w:rsidRPr="005A58C0">
                    <w:rPr>
                      <w:rFonts w:ascii="Times New Roman" w:eastAsia="Times New Roman" w:hAnsi="Times New Roman" w:cs="Times New Roman"/>
                      <w:sz w:val="20"/>
                      <w:szCs w:val="20"/>
                      <w:lang w:eastAsia="pl-PL"/>
                    </w:rPr>
                    <w:t> </w:t>
                  </w:r>
                  <w:r w:rsidR="00655309" w:rsidRPr="005A58C0">
                    <w:rPr>
                      <w:rFonts w:ascii="Times New Roman" w:hAnsi="Times New Roman" w:cs="Times New Roman"/>
                      <w:sz w:val="20"/>
                      <w:szCs w:val="20"/>
                    </w:rPr>
                    <w:br/>
                    <w:t>mBank Spółka Akcyjna</w:t>
                  </w:r>
                  <w:r w:rsidR="00A2273D" w:rsidRPr="005A58C0">
                    <w:rPr>
                      <w:rFonts w:ascii="Times New Roman" w:hAnsi="Times New Roman" w:cs="Times New Roman"/>
                      <w:sz w:val="20"/>
                      <w:szCs w:val="20"/>
                    </w:rPr>
                    <w:t xml:space="preserve"> </w:t>
                  </w:r>
                  <w:r w:rsidR="00A2273D" w:rsidRPr="005A58C0">
                    <w:rPr>
                      <w:rFonts w:ascii="Times New Roman" w:hAnsi="Times New Roman" w:cs="Times New Roman"/>
                      <w:sz w:val="20"/>
                      <w:szCs w:val="20"/>
                      <w:shd w:val="clear" w:color="auto" w:fill="FFFFFF"/>
                    </w:rPr>
                    <w:t> z siedzibą przy </w:t>
                  </w:r>
                  <w:hyperlink r:id="rId12" w:tooltip="Ulica Prosta w Warszawie" w:history="1">
                    <w:r w:rsidR="00A2273D" w:rsidRPr="005A58C0">
                      <w:rPr>
                        <w:rStyle w:val="Hipercze"/>
                        <w:rFonts w:ascii="Times New Roman" w:hAnsi="Times New Roman" w:cs="Times New Roman"/>
                        <w:color w:val="auto"/>
                        <w:sz w:val="20"/>
                        <w:szCs w:val="20"/>
                        <w:u w:val="none"/>
                        <w:shd w:val="clear" w:color="auto" w:fill="FFFFFF"/>
                      </w:rPr>
                      <w:t>ul. Prostej</w:t>
                    </w:r>
                  </w:hyperlink>
                  <w:r w:rsidR="00A2273D" w:rsidRPr="005A58C0">
                    <w:rPr>
                      <w:rFonts w:ascii="Times New Roman" w:hAnsi="Times New Roman" w:cs="Times New Roman"/>
                      <w:sz w:val="20"/>
                      <w:szCs w:val="20"/>
                      <w:shd w:val="clear" w:color="auto" w:fill="FFFFFF"/>
                    </w:rPr>
                    <w:t> 18 w </w:t>
                  </w:r>
                  <w:hyperlink r:id="rId13" w:history="1">
                    <w:r w:rsidR="00A2273D" w:rsidRPr="005A58C0">
                      <w:rPr>
                        <w:rStyle w:val="Hipercze"/>
                        <w:rFonts w:ascii="Times New Roman" w:hAnsi="Times New Roman" w:cs="Times New Roman"/>
                        <w:color w:val="auto"/>
                        <w:sz w:val="20"/>
                        <w:szCs w:val="20"/>
                        <w:u w:val="none"/>
                        <w:shd w:val="clear" w:color="auto" w:fill="FFFFFF"/>
                      </w:rPr>
                      <w:t>Warszawie</w:t>
                    </w:r>
                  </w:hyperlink>
                  <w:r w:rsidR="00655309" w:rsidRPr="005A58C0">
                    <w:rPr>
                      <w:rFonts w:ascii="Times New Roman" w:hAnsi="Times New Roman" w:cs="Times New Roman"/>
                      <w:sz w:val="20"/>
                      <w:szCs w:val="20"/>
                    </w:rPr>
                    <w:t xml:space="preserve">, Oddział Korporacyjny Poznań, ul. Roosevelta 22, </w:t>
                  </w:r>
                </w:p>
              </w:tc>
            </w:tr>
            <w:tr w:rsidR="005A58C0" w:rsidRPr="005A58C0" w14:paraId="087CCD92" w14:textId="77777777" w:rsidTr="00655309">
              <w:tc>
                <w:tcPr>
                  <w:tcW w:w="8431" w:type="dxa"/>
                  <w:hideMark/>
                </w:tcPr>
                <w:p w14:paraId="693F505E" w14:textId="77777777" w:rsidR="00655309" w:rsidRPr="005A58C0" w:rsidRDefault="00655309" w:rsidP="00655309">
                  <w:pPr>
                    <w:autoSpaceDE w:val="0"/>
                    <w:autoSpaceDN w:val="0"/>
                    <w:spacing w:line="276" w:lineRule="auto"/>
                    <w:rPr>
                      <w:rFonts w:ascii="Times New Roman" w:hAnsi="Times New Roman" w:cs="Times New Roman"/>
                      <w:sz w:val="20"/>
                      <w:szCs w:val="20"/>
                    </w:rPr>
                  </w:pPr>
                  <w:r w:rsidRPr="005A58C0">
                    <w:rPr>
                      <w:rFonts w:ascii="Times New Roman" w:hAnsi="Times New Roman" w:cs="Times New Roman"/>
                      <w:sz w:val="20"/>
                      <w:szCs w:val="20"/>
                    </w:rPr>
                    <w:t>60-829 Poznań</w:t>
                  </w:r>
                </w:p>
                <w:p w14:paraId="3CFB1C63" w14:textId="4B2E63D2" w:rsidR="00655309" w:rsidRPr="005A58C0" w:rsidRDefault="00655309" w:rsidP="00655309">
                  <w:pPr>
                    <w:spacing w:line="276" w:lineRule="auto"/>
                    <w:rPr>
                      <w:rFonts w:ascii="Times New Roman" w:hAnsi="Times New Roman" w:cs="Times New Roman"/>
                      <w:sz w:val="20"/>
                      <w:szCs w:val="20"/>
                    </w:rPr>
                  </w:pPr>
                </w:p>
              </w:tc>
            </w:tr>
          </w:tbl>
          <w:p w14:paraId="70D24EDA" w14:textId="0DB70B5E" w:rsidR="00F04563" w:rsidRPr="005A58C0" w:rsidRDefault="00F04563" w:rsidP="00F04563">
            <w:pPr>
              <w:autoSpaceDN w:val="0"/>
              <w:spacing w:before="144" w:after="144" w:line="240" w:lineRule="auto"/>
              <w:jc w:val="both"/>
              <w:rPr>
                <w:rFonts w:ascii="Times New Roman" w:eastAsia="Times New Roman" w:hAnsi="Times New Roman" w:cs="Times New Roman"/>
                <w:sz w:val="20"/>
                <w:szCs w:val="20"/>
                <w:lang w:eastAsia="pl-PL"/>
              </w:rPr>
            </w:pPr>
          </w:p>
        </w:tc>
      </w:tr>
      <w:tr w:rsidR="005A58C0" w:rsidRPr="005A58C0" w14:paraId="3A7E2599" w14:textId="77777777" w:rsidTr="00E06B7E">
        <w:trPr>
          <w:trHeight w:val="488"/>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4B2F6A38" w14:textId="77777777" w:rsidR="00940D9F" w:rsidRPr="005A58C0" w:rsidRDefault="00940D9F" w:rsidP="00940D9F">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Harmonogram przedsięwzięcia deweloperskiego lub zadania inwestycyjnego</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F2131B" w14:textId="085BFA55" w:rsidR="00E0694E" w:rsidRPr="005A58C0" w:rsidRDefault="00717102" w:rsidP="00E0694E">
            <w:pPr>
              <w:pStyle w:val="Tekstpodstawowy"/>
              <w:jc w:val="both"/>
              <w:rPr>
                <w:b w:val="0"/>
                <w:bCs w:val="0"/>
                <w:color w:val="auto"/>
                <w:sz w:val="19"/>
                <w:szCs w:val="19"/>
              </w:rPr>
            </w:pPr>
            <w:r w:rsidRPr="005A58C0">
              <w:rPr>
                <w:color w:val="auto"/>
                <w:sz w:val="19"/>
                <w:szCs w:val="19"/>
                <w:u w:val="single"/>
              </w:rPr>
              <w:t xml:space="preserve">Etap </w:t>
            </w:r>
            <w:r w:rsidR="00940D9F" w:rsidRPr="005A58C0">
              <w:rPr>
                <w:color w:val="auto"/>
                <w:sz w:val="19"/>
                <w:szCs w:val="19"/>
                <w:u w:val="single"/>
              </w:rPr>
              <w:t>I</w:t>
            </w:r>
            <w:r w:rsidR="00A470A6" w:rsidRPr="005A58C0">
              <w:rPr>
                <w:color w:val="auto"/>
                <w:sz w:val="19"/>
                <w:szCs w:val="19"/>
                <w:u w:val="single"/>
              </w:rPr>
              <w:t xml:space="preserve"> </w:t>
            </w:r>
            <w:r w:rsidR="004E600F" w:rsidRPr="004E600F">
              <w:rPr>
                <w:color w:val="auto"/>
                <w:sz w:val="19"/>
                <w:szCs w:val="19"/>
                <w:u w:val="single"/>
              </w:rPr>
              <w:t>[Wartość gruntu, roboty przygotowawcze ](85%)</w:t>
            </w:r>
            <w:r w:rsidR="00A470A6" w:rsidRPr="005A58C0">
              <w:rPr>
                <w:color w:val="auto"/>
                <w:sz w:val="19"/>
                <w:szCs w:val="19"/>
              </w:rPr>
              <w:t xml:space="preserve"> </w:t>
            </w:r>
            <w:r w:rsidR="00E0694E" w:rsidRPr="005A58C0">
              <w:rPr>
                <w:color w:val="auto"/>
                <w:sz w:val="19"/>
                <w:szCs w:val="19"/>
              </w:rPr>
              <w:t>[</w:t>
            </w:r>
            <w:r w:rsidR="00E0694E" w:rsidRPr="005A58C0">
              <w:rPr>
                <w:b w:val="0"/>
                <w:bCs w:val="0"/>
                <w:color w:val="auto"/>
                <w:sz w:val="19"/>
                <w:szCs w:val="19"/>
              </w:rPr>
              <w:t xml:space="preserve">procentowy, szacunkowy udział w całkowitych kosztach przedsięwzięcia deweloperskiego </w:t>
            </w:r>
            <w:r w:rsidR="004E600F">
              <w:rPr>
                <w:color w:val="auto"/>
                <w:sz w:val="19"/>
                <w:szCs w:val="19"/>
              </w:rPr>
              <w:t>25</w:t>
            </w:r>
            <w:r w:rsidR="00E0694E" w:rsidRPr="005A58C0">
              <w:rPr>
                <w:color w:val="auto"/>
                <w:sz w:val="19"/>
                <w:szCs w:val="19"/>
              </w:rPr>
              <w:t>%]</w:t>
            </w:r>
            <w:r w:rsidR="00E0694E" w:rsidRPr="005A58C0">
              <w:rPr>
                <w:b w:val="0"/>
                <w:bCs w:val="0"/>
                <w:color w:val="auto"/>
                <w:sz w:val="19"/>
                <w:szCs w:val="19"/>
              </w:rPr>
              <w:t xml:space="preserve"> – do dnia </w:t>
            </w:r>
            <w:r w:rsidR="004E600F">
              <w:rPr>
                <w:color w:val="auto"/>
                <w:sz w:val="19"/>
                <w:szCs w:val="19"/>
              </w:rPr>
              <w:t>30</w:t>
            </w:r>
            <w:r w:rsidR="00C36B34">
              <w:rPr>
                <w:color w:val="auto"/>
                <w:sz w:val="19"/>
                <w:szCs w:val="19"/>
              </w:rPr>
              <w:t>.07</w:t>
            </w:r>
            <w:r w:rsidR="00A3704D" w:rsidRPr="005A58C0">
              <w:rPr>
                <w:color w:val="auto"/>
                <w:sz w:val="19"/>
                <w:szCs w:val="19"/>
              </w:rPr>
              <w:t>.2024r</w:t>
            </w:r>
            <w:r w:rsidR="00E0694E" w:rsidRPr="005A58C0">
              <w:rPr>
                <w:color w:val="auto"/>
                <w:sz w:val="19"/>
                <w:szCs w:val="19"/>
              </w:rPr>
              <w:t>;</w:t>
            </w:r>
          </w:p>
          <w:p w14:paraId="17F6D6A1" w14:textId="78D3AFDF" w:rsidR="00940D9F" w:rsidRPr="005A58C0" w:rsidRDefault="00940D9F" w:rsidP="00943F11">
            <w:pPr>
              <w:pStyle w:val="Tekstpodstawowy"/>
              <w:jc w:val="both"/>
              <w:rPr>
                <w:b w:val="0"/>
                <w:bCs w:val="0"/>
                <w:color w:val="auto"/>
                <w:sz w:val="19"/>
                <w:szCs w:val="19"/>
              </w:rPr>
            </w:pPr>
          </w:p>
          <w:p w14:paraId="74ED14E2" w14:textId="5DE45496" w:rsidR="00940D9F" w:rsidRPr="005A58C0" w:rsidRDefault="00717102" w:rsidP="00943F11">
            <w:pPr>
              <w:pStyle w:val="Tekstpodstawowy"/>
              <w:jc w:val="both"/>
              <w:rPr>
                <w:b w:val="0"/>
                <w:bCs w:val="0"/>
                <w:color w:val="auto"/>
                <w:sz w:val="19"/>
                <w:szCs w:val="19"/>
              </w:rPr>
            </w:pPr>
            <w:r w:rsidRPr="005A58C0">
              <w:rPr>
                <w:color w:val="auto"/>
                <w:sz w:val="19"/>
                <w:szCs w:val="19"/>
                <w:u w:val="single"/>
              </w:rPr>
              <w:t xml:space="preserve">Etap II </w:t>
            </w:r>
            <w:r w:rsidR="004E600F" w:rsidRPr="004E600F">
              <w:rPr>
                <w:color w:val="auto"/>
                <w:sz w:val="19"/>
                <w:szCs w:val="19"/>
                <w:u w:val="single"/>
              </w:rPr>
              <w:t>[Wartość gruntu , roboty przygotowawcze] (100%), [wyburzenia] (100%), [obudowa wykopu - ściany szczelinowe] (72%)</w:t>
            </w:r>
            <w:r w:rsidR="004E600F">
              <w:rPr>
                <w:color w:val="auto"/>
                <w:sz w:val="19"/>
                <w:szCs w:val="19"/>
                <w:u w:val="single"/>
              </w:rPr>
              <w:t xml:space="preserve"> </w:t>
            </w:r>
            <w:r w:rsidRPr="005A58C0">
              <w:rPr>
                <w:b w:val="0"/>
                <w:bCs w:val="0"/>
                <w:color w:val="auto"/>
                <w:sz w:val="19"/>
                <w:szCs w:val="19"/>
              </w:rPr>
              <w:t xml:space="preserve">– </w:t>
            </w:r>
            <w:r w:rsidR="00E0694E" w:rsidRPr="005A58C0">
              <w:rPr>
                <w:color w:val="auto"/>
                <w:sz w:val="19"/>
                <w:szCs w:val="19"/>
              </w:rPr>
              <w:t>[</w:t>
            </w:r>
            <w:r w:rsidR="00E0694E" w:rsidRPr="005A58C0">
              <w:rPr>
                <w:b w:val="0"/>
                <w:bCs w:val="0"/>
                <w:color w:val="auto"/>
                <w:sz w:val="19"/>
                <w:szCs w:val="19"/>
              </w:rPr>
              <w:t xml:space="preserve">procentowy, szacunkowy udział w całkowitych kosztach przedsięwzięcia deweloperskiego </w:t>
            </w:r>
            <w:r w:rsidR="004E600F">
              <w:rPr>
                <w:color w:val="auto"/>
                <w:sz w:val="19"/>
                <w:szCs w:val="19"/>
              </w:rPr>
              <w:t>12,06</w:t>
            </w:r>
            <w:r w:rsidR="00E0694E" w:rsidRPr="005A58C0">
              <w:rPr>
                <w:color w:val="auto"/>
                <w:sz w:val="19"/>
                <w:szCs w:val="19"/>
              </w:rPr>
              <w:t>%</w:t>
            </w:r>
            <w:r w:rsidR="00E0694E" w:rsidRPr="005A58C0">
              <w:rPr>
                <w:b w:val="0"/>
                <w:bCs w:val="0"/>
                <w:color w:val="auto"/>
                <w:sz w:val="19"/>
                <w:szCs w:val="19"/>
              </w:rPr>
              <w:t xml:space="preserve">] – </w:t>
            </w:r>
            <w:r w:rsidR="00A3704D" w:rsidRPr="005A58C0">
              <w:rPr>
                <w:b w:val="0"/>
                <w:bCs w:val="0"/>
                <w:color w:val="auto"/>
                <w:sz w:val="19"/>
                <w:szCs w:val="19"/>
              </w:rPr>
              <w:t>do dnia</w:t>
            </w:r>
            <w:r w:rsidR="00E0694E" w:rsidRPr="005A58C0">
              <w:rPr>
                <w:b w:val="0"/>
                <w:bCs w:val="0"/>
                <w:color w:val="auto"/>
                <w:sz w:val="19"/>
                <w:szCs w:val="19"/>
              </w:rPr>
              <w:t xml:space="preserve"> </w:t>
            </w:r>
            <w:r w:rsidR="004E600F">
              <w:rPr>
                <w:color w:val="auto"/>
                <w:sz w:val="19"/>
                <w:szCs w:val="19"/>
              </w:rPr>
              <w:t>31.07</w:t>
            </w:r>
            <w:r w:rsidR="00614AD6" w:rsidRPr="005A58C0">
              <w:rPr>
                <w:color w:val="auto"/>
                <w:sz w:val="19"/>
                <w:szCs w:val="19"/>
              </w:rPr>
              <w:t>.2024r</w:t>
            </w:r>
            <w:r w:rsidR="00E0694E" w:rsidRPr="005A58C0">
              <w:rPr>
                <w:color w:val="auto"/>
                <w:sz w:val="19"/>
                <w:szCs w:val="19"/>
              </w:rPr>
              <w:t>;</w:t>
            </w:r>
          </w:p>
          <w:p w14:paraId="28460765" w14:textId="77777777" w:rsidR="00C00127" w:rsidRPr="005A58C0" w:rsidRDefault="00C00127" w:rsidP="00943F11">
            <w:pPr>
              <w:pStyle w:val="Tekstpodstawowy"/>
              <w:jc w:val="both"/>
              <w:rPr>
                <w:b w:val="0"/>
                <w:bCs w:val="0"/>
                <w:color w:val="auto"/>
                <w:sz w:val="19"/>
                <w:szCs w:val="19"/>
              </w:rPr>
            </w:pPr>
          </w:p>
          <w:p w14:paraId="2E7DE43B" w14:textId="78E53F97" w:rsidR="00141002" w:rsidRPr="005A58C0" w:rsidRDefault="007E604C" w:rsidP="00943F11">
            <w:pPr>
              <w:pStyle w:val="Tekstpodstawowy"/>
              <w:jc w:val="both"/>
              <w:rPr>
                <w:b w:val="0"/>
                <w:bCs w:val="0"/>
                <w:color w:val="auto"/>
                <w:sz w:val="19"/>
                <w:szCs w:val="19"/>
              </w:rPr>
            </w:pPr>
            <w:r w:rsidRPr="005A58C0">
              <w:rPr>
                <w:color w:val="auto"/>
                <w:sz w:val="19"/>
                <w:szCs w:val="19"/>
                <w:u w:val="single"/>
              </w:rPr>
              <w:t xml:space="preserve">Etap III </w:t>
            </w:r>
            <w:r w:rsidR="004E600F" w:rsidRPr="004E600F">
              <w:rPr>
                <w:color w:val="auto"/>
                <w:sz w:val="19"/>
                <w:szCs w:val="19"/>
                <w:u w:val="single"/>
              </w:rPr>
              <w:t xml:space="preserve">[obudowa wykopu - ściany szczelinowe] (100%),[Garaż podziemny do stropu] (100%) </w:t>
            </w:r>
            <w:r w:rsidR="00A3704D" w:rsidRPr="005A58C0">
              <w:rPr>
                <w:color w:val="auto"/>
                <w:sz w:val="19"/>
                <w:szCs w:val="19"/>
              </w:rPr>
              <w:t>[</w:t>
            </w:r>
            <w:r w:rsidR="00A3704D" w:rsidRPr="005A58C0">
              <w:rPr>
                <w:b w:val="0"/>
                <w:bCs w:val="0"/>
                <w:color w:val="auto"/>
                <w:sz w:val="19"/>
                <w:szCs w:val="19"/>
              </w:rPr>
              <w:t xml:space="preserve">procentowy, szacunkowy udział w całkowitych kosztach przedsięwzięcia deweloperskiego </w:t>
            </w:r>
            <w:r w:rsidR="009B66F9" w:rsidRPr="005A58C0">
              <w:rPr>
                <w:color w:val="auto"/>
                <w:sz w:val="19"/>
                <w:szCs w:val="19"/>
              </w:rPr>
              <w:t>10,</w:t>
            </w:r>
            <w:r w:rsidR="00675994">
              <w:rPr>
                <w:color w:val="auto"/>
                <w:sz w:val="19"/>
                <w:szCs w:val="19"/>
              </w:rPr>
              <w:t>0</w:t>
            </w:r>
            <w:r w:rsidR="009B66F9" w:rsidRPr="005A58C0">
              <w:rPr>
                <w:color w:val="auto"/>
                <w:sz w:val="19"/>
                <w:szCs w:val="19"/>
              </w:rPr>
              <w:t>0</w:t>
            </w:r>
            <w:r w:rsidR="00A3704D" w:rsidRPr="005A58C0">
              <w:rPr>
                <w:color w:val="auto"/>
                <w:sz w:val="19"/>
                <w:szCs w:val="19"/>
              </w:rPr>
              <w:t>%]</w:t>
            </w:r>
            <w:r w:rsidR="00A3704D" w:rsidRPr="005A58C0">
              <w:rPr>
                <w:b w:val="0"/>
                <w:bCs w:val="0"/>
                <w:color w:val="auto"/>
                <w:sz w:val="19"/>
                <w:szCs w:val="19"/>
              </w:rPr>
              <w:t xml:space="preserve"> </w:t>
            </w:r>
            <w:r w:rsidR="00D03F3C" w:rsidRPr="005A58C0">
              <w:rPr>
                <w:b w:val="0"/>
                <w:bCs w:val="0"/>
                <w:color w:val="auto"/>
                <w:sz w:val="19"/>
                <w:szCs w:val="19"/>
              </w:rPr>
              <w:t xml:space="preserve"> – </w:t>
            </w:r>
            <w:r w:rsidR="00A3704D" w:rsidRPr="005A58C0">
              <w:rPr>
                <w:b w:val="0"/>
                <w:bCs w:val="0"/>
                <w:color w:val="auto"/>
                <w:sz w:val="19"/>
                <w:szCs w:val="19"/>
              </w:rPr>
              <w:t xml:space="preserve">do dnia </w:t>
            </w:r>
            <w:r w:rsidR="00675994">
              <w:rPr>
                <w:color w:val="auto"/>
                <w:sz w:val="19"/>
                <w:szCs w:val="19"/>
              </w:rPr>
              <w:t>15.11</w:t>
            </w:r>
            <w:r w:rsidR="002F4EC9" w:rsidRPr="005A58C0">
              <w:rPr>
                <w:color w:val="auto"/>
                <w:sz w:val="19"/>
                <w:szCs w:val="19"/>
              </w:rPr>
              <w:t>.202</w:t>
            </w:r>
            <w:r w:rsidR="009B66F9" w:rsidRPr="005A58C0">
              <w:rPr>
                <w:color w:val="auto"/>
                <w:sz w:val="19"/>
                <w:szCs w:val="19"/>
              </w:rPr>
              <w:t>4</w:t>
            </w:r>
            <w:r w:rsidR="002F4EC9" w:rsidRPr="005A58C0">
              <w:rPr>
                <w:color w:val="auto"/>
                <w:sz w:val="19"/>
                <w:szCs w:val="19"/>
              </w:rPr>
              <w:t>r</w:t>
            </w:r>
            <w:r w:rsidR="00C90CB1" w:rsidRPr="005A58C0">
              <w:rPr>
                <w:color w:val="auto"/>
                <w:sz w:val="19"/>
                <w:szCs w:val="19"/>
              </w:rPr>
              <w:t>;</w:t>
            </w:r>
          </w:p>
          <w:p w14:paraId="248A18B9" w14:textId="77777777" w:rsidR="00C00127" w:rsidRPr="005A58C0" w:rsidRDefault="00C00127" w:rsidP="00943F11">
            <w:pPr>
              <w:pStyle w:val="Tekstpodstawowy"/>
              <w:jc w:val="both"/>
              <w:rPr>
                <w:b w:val="0"/>
                <w:bCs w:val="0"/>
                <w:color w:val="auto"/>
                <w:sz w:val="19"/>
                <w:szCs w:val="19"/>
              </w:rPr>
            </w:pPr>
          </w:p>
          <w:p w14:paraId="2584FA6E" w14:textId="6F97C431" w:rsidR="00D03F3C" w:rsidRPr="005A58C0" w:rsidRDefault="00D03F3C" w:rsidP="00943F11">
            <w:pPr>
              <w:pStyle w:val="Tekstpodstawowy"/>
              <w:jc w:val="both"/>
              <w:rPr>
                <w:b w:val="0"/>
                <w:bCs w:val="0"/>
                <w:color w:val="auto"/>
                <w:sz w:val="19"/>
                <w:szCs w:val="19"/>
              </w:rPr>
            </w:pPr>
            <w:r w:rsidRPr="005A58C0">
              <w:rPr>
                <w:color w:val="auto"/>
                <w:sz w:val="19"/>
                <w:szCs w:val="19"/>
                <w:u w:val="single"/>
              </w:rPr>
              <w:t xml:space="preserve">Etap IV </w:t>
            </w:r>
            <w:r w:rsidR="00675994" w:rsidRPr="00675994">
              <w:rPr>
                <w:color w:val="auto"/>
                <w:sz w:val="19"/>
                <w:szCs w:val="19"/>
                <w:u w:val="single"/>
              </w:rPr>
              <w:t xml:space="preserve">[ściany konstrukcyjne piętra, strop nad parterem, konstrukcja +1] (100%),  [Strop +1, konstrukcja +2, strop +2] (65%) </w:t>
            </w:r>
            <w:r w:rsidR="00A3704D" w:rsidRPr="005A58C0">
              <w:rPr>
                <w:color w:val="auto"/>
                <w:sz w:val="19"/>
                <w:szCs w:val="19"/>
              </w:rPr>
              <w:t>[</w:t>
            </w:r>
            <w:r w:rsidR="00A3704D" w:rsidRPr="005A58C0">
              <w:rPr>
                <w:b w:val="0"/>
                <w:bCs w:val="0"/>
                <w:color w:val="auto"/>
                <w:sz w:val="19"/>
                <w:szCs w:val="19"/>
              </w:rPr>
              <w:t xml:space="preserve">procentowy, szacunkowy udział w całkowitych kosztach przedsięwzięcia deweloperskiego </w:t>
            </w:r>
            <w:r w:rsidR="00675994">
              <w:rPr>
                <w:color w:val="auto"/>
                <w:sz w:val="19"/>
                <w:szCs w:val="19"/>
              </w:rPr>
              <w:t>12,24</w:t>
            </w:r>
            <w:r w:rsidR="00A3704D" w:rsidRPr="005A58C0">
              <w:rPr>
                <w:color w:val="auto"/>
                <w:sz w:val="19"/>
                <w:szCs w:val="19"/>
              </w:rPr>
              <w:t>%]</w:t>
            </w:r>
            <w:r w:rsidR="00A3704D" w:rsidRPr="005A58C0">
              <w:rPr>
                <w:b w:val="0"/>
                <w:bCs w:val="0"/>
                <w:color w:val="auto"/>
                <w:sz w:val="19"/>
                <w:szCs w:val="19"/>
              </w:rPr>
              <w:t xml:space="preserve">  </w:t>
            </w:r>
            <w:r w:rsidR="00C00127" w:rsidRPr="005A58C0">
              <w:rPr>
                <w:b w:val="0"/>
                <w:bCs w:val="0"/>
                <w:color w:val="auto"/>
                <w:sz w:val="19"/>
                <w:szCs w:val="19"/>
              </w:rPr>
              <w:t>–</w:t>
            </w:r>
            <w:r w:rsidR="00A3704D" w:rsidRPr="005A58C0">
              <w:rPr>
                <w:b w:val="0"/>
                <w:bCs w:val="0"/>
                <w:color w:val="auto"/>
                <w:sz w:val="19"/>
                <w:szCs w:val="19"/>
              </w:rPr>
              <w:t xml:space="preserve"> do dnia</w:t>
            </w:r>
            <w:r w:rsidR="00C00127" w:rsidRPr="005A58C0">
              <w:rPr>
                <w:b w:val="0"/>
                <w:bCs w:val="0"/>
                <w:color w:val="auto"/>
                <w:sz w:val="19"/>
                <w:szCs w:val="19"/>
              </w:rPr>
              <w:t xml:space="preserve"> </w:t>
            </w:r>
            <w:r w:rsidR="00675994">
              <w:rPr>
                <w:color w:val="auto"/>
                <w:sz w:val="19"/>
                <w:szCs w:val="19"/>
              </w:rPr>
              <w:t>25.01</w:t>
            </w:r>
            <w:r w:rsidR="00DF0909" w:rsidRPr="005A58C0">
              <w:rPr>
                <w:color w:val="auto"/>
                <w:sz w:val="19"/>
                <w:szCs w:val="19"/>
              </w:rPr>
              <w:t>.202</w:t>
            </w:r>
            <w:r w:rsidR="00675994">
              <w:rPr>
                <w:color w:val="auto"/>
                <w:sz w:val="19"/>
                <w:szCs w:val="19"/>
              </w:rPr>
              <w:t>5</w:t>
            </w:r>
            <w:r w:rsidR="00DF0909" w:rsidRPr="005A58C0">
              <w:rPr>
                <w:color w:val="auto"/>
                <w:sz w:val="19"/>
                <w:szCs w:val="19"/>
              </w:rPr>
              <w:t>r</w:t>
            </w:r>
            <w:r w:rsidR="00C00127" w:rsidRPr="005A58C0">
              <w:rPr>
                <w:b w:val="0"/>
                <w:bCs w:val="0"/>
                <w:color w:val="auto"/>
                <w:sz w:val="19"/>
                <w:szCs w:val="19"/>
              </w:rPr>
              <w:t>;</w:t>
            </w:r>
          </w:p>
          <w:p w14:paraId="5109A30F" w14:textId="77777777" w:rsidR="00C00127" w:rsidRPr="005A58C0" w:rsidRDefault="00C00127" w:rsidP="00943F11">
            <w:pPr>
              <w:pStyle w:val="Tekstpodstawowy"/>
              <w:jc w:val="both"/>
              <w:rPr>
                <w:b w:val="0"/>
                <w:bCs w:val="0"/>
                <w:color w:val="auto"/>
                <w:sz w:val="19"/>
                <w:szCs w:val="19"/>
              </w:rPr>
            </w:pPr>
          </w:p>
          <w:p w14:paraId="069E5B78" w14:textId="31356C23" w:rsidR="00A3704D" w:rsidRPr="005A58C0" w:rsidRDefault="00C00127" w:rsidP="00A3704D">
            <w:pPr>
              <w:pStyle w:val="Tekstpodstawowy"/>
              <w:jc w:val="both"/>
              <w:rPr>
                <w:color w:val="auto"/>
                <w:sz w:val="19"/>
                <w:szCs w:val="19"/>
              </w:rPr>
            </w:pPr>
            <w:r w:rsidRPr="005A58C0">
              <w:rPr>
                <w:color w:val="auto"/>
                <w:sz w:val="19"/>
                <w:szCs w:val="19"/>
                <w:u w:val="single"/>
              </w:rPr>
              <w:t xml:space="preserve">Etap V </w:t>
            </w:r>
            <w:r w:rsidR="00252496" w:rsidRPr="00252496">
              <w:rPr>
                <w:color w:val="auto"/>
                <w:sz w:val="19"/>
                <w:szCs w:val="19"/>
                <w:u w:val="single"/>
              </w:rPr>
              <w:t xml:space="preserve">[Strop +1, konstrukcja +2, strop +2] (100%) [Konstrukcja +3, konstrukcja dach, ściany działowe] (100%) </w:t>
            </w:r>
            <w:r w:rsidR="00A3704D" w:rsidRPr="005A58C0">
              <w:rPr>
                <w:color w:val="auto"/>
                <w:sz w:val="19"/>
                <w:szCs w:val="19"/>
              </w:rPr>
              <w:t>[</w:t>
            </w:r>
            <w:r w:rsidR="00A3704D" w:rsidRPr="005A58C0">
              <w:rPr>
                <w:b w:val="0"/>
                <w:bCs w:val="0"/>
                <w:color w:val="auto"/>
                <w:sz w:val="19"/>
                <w:szCs w:val="19"/>
              </w:rPr>
              <w:t xml:space="preserve">procentowy, szacunkowy udział w całkowitych kosztach przedsięwzięcia deweloperskiego </w:t>
            </w:r>
            <w:r w:rsidR="00DF0909" w:rsidRPr="005A58C0">
              <w:rPr>
                <w:color w:val="auto"/>
                <w:sz w:val="19"/>
                <w:szCs w:val="19"/>
              </w:rPr>
              <w:t>10,</w:t>
            </w:r>
            <w:r w:rsidR="00252496">
              <w:rPr>
                <w:color w:val="auto"/>
                <w:sz w:val="19"/>
                <w:szCs w:val="19"/>
              </w:rPr>
              <w:t>0</w:t>
            </w:r>
            <w:r w:rsidR="00DF0909" w:rsidRPr="005A58C0">
              <w:rPr>
                <w:color w:val="auto"/>
                <w:sz w:val="19"/>
                <w:szCs w:val="19"/>
              </w:rPr>
              <w:t>0</w:t>
            </w:r>
            <w:r w:rsidR="00A3704D" w:rsidRPr="005A58C0">
              <w:rPr>
                <w:color w:val="auto"/>
                <w:sz w:val="19"/>
                <w:szCs w:val="19"/>
              </w:rPr>
              <w:t>%]</w:t>
            </w:r>
            <w:r w:rsidR="00A3704D" w:rsidRPr="005A58C0">
              <w:rPr>
                <w:b w:val="0"/>
                <w:bCs w:val="0"/>
                <w:color w:val="auto"/>
                <w:sz w:val="19"/>
                <w:szCs w:val="19"/>
              </w:rPr>
              <w:t xml:space="preserve"> – do dnia </w:t>
            </w:r>
            <w:r w:rsidR="00252496">
              <w:rPr>
                <w:color w:val="auto"/>
                <w:sz w:val="19"/>
                <w:szCs w:val="19"/>
              </w:rPr>
              <w:t>28.02</w:t>
            </w:r>
            <w:r w:rsidR="00DF0909" w:rsidRPr="005A58C0">
              <w:rPr>
                <w:color w:val="auto"/>
                <w:sz w:val="19"/>
                <w:szCs w:val="19"/>
              </w:rPr>
              <w:t>.202</w:t>
            </w:r>
            <w:r w:rsidR="00252496">
              <w:rPr>
                <w:color w:val="auto"/>
                <w:sz w:val="19"/>
                <w:szCs w:val="19"/>
              </w:rPr>
              <w:t>5</w:t>
            </w:r>
            <w:r w:rsidR="00DF0909" w:rsidRPr="005A58C0">
              <w:rPr>
                <w:color w:val="auto"/>
                <w:sz w:val="19"/>
                <w:szCs w:val="19"/>
              </w:rPr>
              <w:t>r</w:t>
            </w:r>
          </w:p>
          <w:p w14:paraId="509CD0D9" w14:textId="77777777" w:rsidR="00DF0909" w:rsidRPr="005A58C0" w:rsidRDefault="00DF0909" w:rsidP="00A3704D">
            <w:pPr>
              <w:pStyle w:val="Tekstpodstawowy"/>
              <w:jc w:val="both"/>
              <w:rPr>
                <w:color w:val="auto"/>
                <w:sz w:val="19"/>
                <w:szCs w:val="19"/>
              </w:rPr>
            </w:pPr>
          </w:p>
          <w:p w14:paraId="0AF26CFD" w14:textId="7901E35B" w:rsidR="00DF0909" w:rsidRPr="005A58C0" w:rsidRDefault="00DF0909" w:rsidP="00DF0909">
            <w:pPr>
              <w:pStyle w:val="Tekstpodstawowy"/>
              <w:jc w:val="both"/>
              <w:rPr>
                <w:color w:val="auto"/>
                <w:sz w:val="19"/>
                <w:szCs w:val="19"/>
              </w:rPr>
            </w:pPr>
            <w:r w:rsidRPr="005A58C0">
              <w:rPr>
                <w:color w:val="auto"/>
                <w:sz w:val="19"/>
                <w:szCs w:val="19"/>
                <w:u w:val="single"/>
              </w:rPr>
              <w:t xml:space="preserve">Etap VI </w:t>
            </w:r>
            <w:r w:rsidR="00252496" w:rsidRPr="00252496">
              <w:rPr>
                <w:color w:val="auto"/>
                <w:sz w:val="19"/>
                <w:szCs w:val="19"/>
                <w:u w:val="single"/>
              </w:rPr>
              <w:t xml:space="preserve">[Pokrycie dachu, stolarka okienna] (100%), [Elektryka, tynki, instalacja </w:t>
            </w:r>
            <w:proofErr w:type="spellStart"/>
            <w:r w:rsidR="00252496" w:rsidRPr="00252496">
              <w:rPr>
                <w:color w:val="auto"/>
                <w:sz w:val="19"/>
                <w:szCs w:val="19"/>
                <w:u w:val="single"/>
              </w:rPr>
              <w:t>wod-kan</w:t>
            </w:r>
            <w:proofErr w:type="spellEnd"/>
            <w:r w:rsidR="00252496" w:rsidRPr="00252496">
              <w:rPr>
                <w:color w:val="auto"/>
                <w:sz w:val="19"/>
                <w:szCs w:val="19"/>
                <w:u w:val="single"/>
              </w:rPr>
              <w:t>] (37%)</w:t>
            </w:r>
            <w:r w:rsidR="00252496">
              <w:rPr>
                <w:color w:val="auto"/>
                <w:sz w:val="19"/>
                <w:szCs w:val="19"/>
                <w:u w:val="single"/>
              </w:rPr>
              <w:t xml:space="preserve"> </w:t>
            </w:r>
            <w:r w:rsidRPr="005A58C0">
              <w:rPr>
                <w:b w:val="0"/>
                <w:bCs w:val="0"/>
                <w:color w:val="auto"/>
                <w:sz w:val="19"/>
                <w:szCs w:val="19"/>
              </w:rPr>
              <w:t xml:space="preserve">procentowy, szacunkowy udział w całkowitych kosztach przedsięwzięcia deweloperskiego </w:t>
            </w:r>
            <w:r w:rsidRPr="005A58C0">
              <w:rPr>
                <w:color w:val="auto"/>
                <w:sz w:val="19"/>
                <w:szCs w:val="19"/>
              </w:rPr>
              <w:t>10,</w:t>
            </w:r>
            <w:r w:rsidR="00252496">
              <w:rPr>
                <w:color w:val="auto"/>
                <w:sz w:val="19"/>
                <w:szCs w:val="19"/>
              </w:rPr>
              <w:t>0</w:t>
            </w:r>
            <w:r w:rsidRPr="005A58C0">
              <w:rPr>
                <w:color w:val="auto"/>
                <w:sz w:val="19"/>
                <w:szCs w:val="19"/>
              </w:rPr>
              <w:t>0%]</w:t>
            </w:r>
            <w:r w:rsidRPr="005A58C0">
              <w:rPr>
                <w:b w:val="0"/>
                <w:bCs w:val="0"/>
                <w:color w:val="auto"/>
                <w:sz w:val="19"/>
                <w:szCs w:val="19"/>
              </w:rPr>
              <w:t xml:space="preserve"> – do dnia </w:t>
            </w:r>
            <w:r w:rsidR="00252496">
              <w:rPr>
                <w:color w:val="auto"/>
                <w:sz w:val="19"/>
                <w:szCs w:val="19"/>
              </w:rPr>
              <w:t>15.04.2025r</w:t>
            </w:r>
          </w:p>
          <w:p w14:paraId="41D252A8" w14:textId="77777777" w:rsidR="00DF0909" w:rsidRPr="005A58C0" w:rsidRDefault="00DF0909" w:rsidP="00DF0909">
            <w:pPr>
              <w:pStyle w:val="Tekstpodstawowy"/>
              <w:jc w:val="both"/>
              <w:rPr>
                <w:color w:val="auto"/>
                <w:sz w:val="19"/>
                <w:szCs w:val="19"/>
              </w:rPr>
            </w:pPr>
          </w:p>
          <w:p w14:paraId="43B007EB" w14:textId="45A7EC25" w:rsidR="00DF0909" w:rsidRPr="005A58C0" w:rsidRDefault="00DF0909" w:rsidP="00DF0909">
            <w:pPr>
              <w:pStyle w:val="Tekstpodstawowy"/>
              <w:jc w:val="both"/>
              <w:rPr>
                <w:color w:val="auto"/>
                <w:sz w:val="19"/>
                <w:szCs w:val="19"/>
              </w:rPr>
            </w:pPr>
            <w:r w:rsidRPr="005A58C0">
              <w:rPr>
                <w:color w:val="auto"/>
                <w:sz w:val="19"/>
                <w:szCs w:val="19"/>
                <w:u w:val="single"/>
              </w:rPr>
              <w:t xml:space="preserve">Etap VII </w:t>
            </w:r>
            <w:r w:rsidR="0088592C" w:rsidRPr="0088592C">
              <w:rPr>
                <w:color w:val="auto"/>
                <w:sz w:val="19"/>
                <w:szCs w:val="19"/>
                <w:u w:val="single"/>
              </w:rPr>
              <w:t xml:space="preserve">[Elektryka, tynki, instalacja </w:t>
            </w:r>
            <w:proofErr w:type="spellStart"/>
            <w:r w:rsidR="0088592C" w:rsidRPr="0088592C">
              <w:rPr>
                <w:color w:val="auto"/>
                <w:sz w:val="19"/>
                <w:szCs w:val="19"/>
                <w:u w:val="single"/>
              </w:rPr>
              <w:t>wod-kan</w:t>
            </w:r>
            <w:proofErr w:type="spellEnd"/>
            <w:r w:rsidR="0088592C" w:rsidRPr="0088592C">
              <w:rPr>
                <w:color w:val="auto"/>
                <w:sz w:val="19"/>
                <w:szCs w:val="19"/>
                <w:u w:val="single"/>
              </w:rPr>
              <w:t>] (100%), [Posadzki, elewacja, stolarka drzwiowa,  instalacja CO] (68%)</w:t>
            </w:r>
            <w:r w:rsidR="0088592C">
              <w:rPr>
                <w:color w:val="auto"/>
                <w:sz w:val="19"/>
                <w:szCs w:val="19"/>
                <w:u w:val="single"/>
              </w:rPr>
              <w:t xml:space="preserve"> </w:t>
            </w:r>
            <w:r w:rsidRPr="005A58C0">
              <w:rPr>
                <w:b w:val="0"/>
                <w:bCs w:val="0"/>
                <w:color w:val="auto"/>
                <w:sz w:val="19"/>
                <w:szCs w:val="19"/>
              </w:rPr>
              <w:t xml:space="preserve">procentowy, szacunkowy udział w całkowitych kosztach przedsięwzięcia deweloperskiego </w:t>
            </w:r>
            <w:r w:rsidRPr="005A58C0">
              <w:rPr>
                <w:color w:val="auto"/>
                <w:sz w:val="19"/>
                <w:szCs w:val="19"/>
              </w:rPr>
              <w:t>10,</w:t>
            </w:r>
            <w:r w:rsidR="0088592C">
              <w:rPr>
                <w:color w:val="auto"/>
                <w:sz w:val="19"/>
                <w:szCs w:val="19"/>
              </w:rPr>
              <w:t>7</w:t>
            </w:r>
            <w:r w:rsidRPr="005A58C0">
              <w:rPr>
                <w:color w:val="auto"/>
                <w:sz w:val="19"/>
                <w:szCs w:val="19"/>
              </w:rPr>
              <w:t>0%]</w:t>
            </w:r>
            <w:r w:rsidRPr="005A58C0">
              <w:rPr>
                <w:b w:val="0"/>
                <w:bCs w:val="0"/>
                <w:color w:val="auto"/>
                <w:sz w:val="19"/>
                <w:szCs w:val="19"/>
              </w:rPr>
              <w:t xml:space="preserve"> – do dnia </w:t>
            </w:r>
            <w:r w:rsidR="0088592C">
              <w:rPr>
                <w:color w:val="auto"/>
                <w:sz w:val="19"/>
                <w:szCs w:val="19"/>
              </w:rPr>
              <w:t>31.05</w:t>
            </w:r>
            <w:r w:rsidRPr="005A58C0">
              <w:rPr>
                <w:color w:val="auto"/>
                <w:sz w:val="19"/>
                <w:szCs w:val="19"/>
              </w:rPr>
              <w:t>.2025r</w:t>
            </w:r>
          </w:p>
          <w:p w14:paraId="0E50348F" w14:textId="77777777" w:rsidR="00E72615" w:rsidRDefault="00E72615" w:rsidP="00DF0909">
            <w:pPr>
              <w:pStyle w:val="Tekstpodstawowy"/>
              <w:jc w:val="both"/>
              <w:rPr>
                <w:color w:val="auto"/>
                <w:sz w:val="19"/>
                <w:szCs w:val="19"/>
              </w:rPr>
            </w:pPr>
          </w:p>
          <w:p w14:paraId="28543CFA" w14:textId="77777777" w:rsidR="00F60421" w:rsidRPr="005A58C0" w:rsidRDefault="00F60421" w:rsidP="00DF0909">
            <w:pPr>
              <w:pStyle w:val="Tekstpodstawowy"/>
              <w:jc w:val="both"/>
              <w:rPr>
                <w:color w:val="auto"/>
                <w:sz w:val="19"/>
                <w:szCs w:val="19"/>
              </w:rPr>
            </w:pPr>
          </w:p>
          <w:p w14:paraId="74FEC011" w14:textId="4263F5CD" w:rsidR="00E72615" w:rsidRPr="005A58C0" w:rsidRDefault="00E72615" w:rsidP="00E72615">
            <w:pPr>
              <w:pStyle w:val="Tekstpodstawowy"/>
              <w:jc w:val="both"/>
              <w:rPr>
                <w:color w:val="auto"/>
                <w:sz w:val="19"/>
                <w:szCs w:val="19"/>
              </w:rPr>
            </w:pPr>
            <w:r w:rsidRPr="005A58C0">
              <w:rPr>
                <w:color w:val="auto"/>
                <w:sz w:val="19"/>
                <w:szCs w:val="19"/>
                <w:u w:val="single"/>
              </w:rPr>
              <w:t xml:space="preserve">Etap VIII </w:t>
            </w:r>
            <w:r w:rsidR="00F60421" w:rsidRPr="00F60421">
              <w:rPr>
                <w:color w:val="auto"/>
                <w:sz w:val="19"/>
                <w:szCs w:val="19"/>
                <w:u w:val="single"/>
              </w:rPr>
              <w:t>[posadzki, elewacja, stolarka drzwiowa,  instalacja CO] (100%), [Przyłącza techniczne, zagospodarowanie terenu, oświetlenie, osprzęt elektryczny [tj. np. rozdzielnie, bezpieczniki, WLZ], osprzęt C.O. [grzejniki], rury spustowe] (100%)</w:t>
            </w:r>
            <w:r w:rsidR="00F60421">
              <w:rPr>
                <w:color w:val="auto"/>
                <w:sz w:val="19"/>
                <w:szCs w:val="19"/>
                <w:u w:val="single"/>
              </w:rPr>
              <w:t xml:space="preserve"> </w:t>
            </w:r>
            <w:r w:rsidRPr="005A58C0">
              <w:rPr>
                <w:b w:val="0"/>
                <w:bCs w:val="0"/>
                <w:color w:val="auto"/>
                <w:sz w:val="19"/>
                <w:szCs w:val="19"/>
              </w:rPr>
              <w:t xml:space="preserve">procentowy, szacunkowy udział w całkowitych kosztach przedsięwzięcia deweloperskiego </w:t>
            </w:r>
            <w:r w:rsidRPr="005A58C0">
              <w:rPr>
                <w:color w:val="auto"/>
                <w:sz w:val="19"/>
                <w:szCs w:val="19"/>
              </w:rPr>
              <w:t>1</w:t>
            </w:r>
            <w:r w:rsidR="00F60421">
              <w:rPr>
                <w:color w:val="auto"/>
                <w:sz w:val="19"/>
                <w:szCs w:val="19"/>
              </w:rPr>
              <w:t>0</w:t>
            </w:r>
            <w:r w:rsidRPr="005A58C0">
              <w:rPr>
                <w:color w:val="auto"/>
                <w:sz w:val="19"/>
                <w:szCs w:val="19"/>
              </w:rPr>
              <w:t>,00%]</w:t>
            </w:r>
            <w:r w:rsidRPr="005A58C0">
              <w:rPr>
                <w:b w:val="0"/>
                <w:bCs w:val="0"/>
                <w:color w:val="auto"/>
                <w:sz w:val="19"/>
                <w:szCs w:val="19"/>
              </w:rPr>
              <w:t xml:space="preserve"> – do dnia </w:t>
            </w:r>
            <w:r w:rsidR="00C36B34">
              <w:rPr>
                <w:color w:val="auto"/>
                <w:sz w:val="19"/>
                <w:szCs w:val="19"/>
              </w:rPr>
              <w:t>30.0</w:t>
            </w:r>
            <w:r w:rsidR="00F60421">
              <w:rPr>
                <w:color w:val="auto"/>
                <w:sz w:val="19"/>
                <w:szCs w:val="19"/>
              </w:rPr>
              <w:t>6</w:t>
            </w:r>
            <w:r w:rsidRPr="005A58C0">
              <w:rPr>
                <w:color w:val="auto"/>
                <w:sz w:val="19"/>
                <w:szCs w:val="19"/>
              </w:rPr>
              <w:t>.2025r</w:t>
            </w:r>
          </w:p>
          <w:p w14:paraId="34F26810" w14:textId="311ED356" w:rsidR="00141002" w:rsidRPr="005A58C0" w:rsidRDefault="00A3704D" w:rsidP="00A3704D">
            <w:pPr>
              <w:pStyle w:val="Tekstpodstawowy"/>
              <w:jc w:val="both"/>
              <w:rPr>
                <w:b w:val="0"/>
                <w:bCs w:val="0"/>
                <w:color w:val="auto"/>
                <w:sz w:val="20"/>
                <w:szCs w:val="20"/>
              </w:rPr>
            </w:pPr>
            <w:r w:rsidRPr="005A58C0">
              <w:rPr>
                <w:b w:val="0"/>
                <w:bCs w:val="0"/>
                <w:color w:val="auto"/>
                <w:sz w:val="19"/>
                <w:szCs w:val="19"/>
              </w:rPr>
              <w:t xml:space="preserve"> </w:t>
            </w:r>
          </w:p>
          <w:p w14:paraId="750ACD98" w14:textId="7574E86E" w:rsidR="00141002" w:rsidRPr="005A58C0" w:rsidRDefault="00141002" w:rsidP="00717102">
            <w:pPr>
              <w:pStyle w:val="Tekstpodstawowy"/>
              <w:rPr>
                <w:color w:val="auto"/>
                <w:sz w:val="20"/>
                <w:szCs w:val="20"/>
                <w:lang w:eastAsia="pl-PL"/>
              </w:rPr>
            </w:pPr>
          </w:p>
        </w:tc>
      </w:tr>
      <w:tr w:rsidR="005A58C0" w:rsidRPr="005A58C0" w14:paraId="178B1F03" w14:textId="77777777" w:rsidTr="00E06B7E">
        <w:trPr>
          <w:trHeight w:val="292"/>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14752F48"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lastRenderedPageBreak/>
              <w:t>Dopuszczenie waloryzacji ceny oraz określenie zasad waloryzacji</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A3A8AE" w14:textId="724B40F4" w:rsidR="00940D9F" w:rsidRPr="005A58C0" w:rsidRDefault="00940D9F" w:rsidP="00940D9F">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00456AF0" w:rsidRPr="005A58C0">
              <w:rPr>
                <w:rFonts w:ascii="Times New Roman" w:hAnsi="Times New Roman" w:cs="Times New Roman"/>
              </w:rPr>
              <w:t>Nie dotyczy</w:t>
            </w:r>
          </w:p>
        </w:tc>
      </w:tr>
      <w:tr w:rsidR="005A58C0" w:rsidRPr="005A58C0" w14:paraId="1643084C" w14:textId="77777777" w:rsidTr="00E06B7E">
        <w:tc>
          <w:tcPr>
            <w:tcW w:w="9629" w:type="dxa"/>
            <w:gridSpan w:val="3"/>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F317D0C" w14:textId="77777777" w:rsidR="00940D9F" w:rsidRPr="005A58C0" w:rsidRDefault="00940D9F" w:rsidP="00940D9F">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xml:space="preserve">WARUNKI ODSTĄPIENIA OD UMOWY DEWELOPERSKIEJ LUB UMOWY, O KTÓREJ MOWA W ART. 2 UST. 1 PKT 2, 3 LUB 5 USTAWY Z DNIA </w:t>
            </w:r>
            <w:r w:rsidRPr="005A58C0">
              <w:rPr>
                <w:rFonts w:ascii="Times New Roman" w:eastAsia="Times New Roman" w:hAnsi="Times New Roman" w:cs="Times New Roman"/>
                <w:sz w:val="20"/>
                <w:szCs w:val="20"/>
                <w:lang w:eastAsia="pl-PL"/>
              </w:rPr>
              <w:t>20 MAJA 2021 R.</w:t>
            </w:r>
            <w:r w:rsidRPr="005A58C0">
              <w:rPr>
                <w:rFonts w:ascii="Times New Roman" w:eastAsia="Times New Roman" w:hAnsi="Times New Roman" w:cs="Times New Roman"/>
                <w:b/>
                <w:bCs/>
                <w:sz w:val="20"/>
                <w:szCs w:val="20"/>
                <w:lang w:eastAsia="pl-PL"/>
              </w:rPr>
              <w:t xml:space="preserve"> O OCHRONIE PRAW NABYWCY LOKALU MIESZKALNEGO LUB DOMU JEDNORODZINNEGO ORAZ DEWELOPERSKIM FUNDUSZU GWARANCYJNYM</w:t>
            </w:r>
          </w:p>
          <w:p w14:paraId="38970FB9" w14:textId="77777777" w:rsidR="00940D9F" w:rsidRPr="005A58C0" w:rsidRDefault="00940D9F" w:rsidP="00940D9F">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p>
        </w:tc>
      </w:tr>
      <w:tr w:rsidR="005A58C0" w:rsidRPr="005A58C0" w14:paraId="110B1FEC" w14:textId="77777777" w:rsidTr="00E06B7E">
        <w:trPr>
          <w:trHeight w:val="1512"/>
        </w:trPr>
        <w:tc>
          <w:tcPr>
            <w:tcW w:w="2657"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24A20827"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697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38E014" w14:textId="77777777" w:rsidR="0070472A" w:rsidRPr="005A58C0" w:rsidRDefault="0070472A" w:rsidP="0070472A">
            <w:pPr>
              <w:spacing w:line="100" w:lineRule="atLeast"/>
              <w:jc w:val="both"/>
              <w:rPr>
                <w:rFonts w:ascii="Times New Roman" w:hAnsi="Times New Roman" w:cs="Times New Roman"/>
                <w:b/>
                <w:bCs/>
              </w:rPr>
            </w:pPr>
            <w:r w:rsidRPr="005A58C0">
              <w:rPr>
                <w:rFonts w:ascii="Times New Roman" w:hAnsi="Times New Roman" w:cs="Times New Roman"/>
                <w:b/>
                <w:bCs/>
              </w:rPr>
              <w:t>Prawo odstąpienia od umowy deweloperskiej przez Nabywcę:</w:t>
            </w:r>
          </w:p>
          <w:p w14:paraId="0EF9482B" w14:textId="77777777" w:rsidR="0070472A" w:rsidRPr="005A58C0" w:rsidRDefault="0070472A" w:rsidP="0070472A">
            <w:pPr>
              <w:spacing w:line="100" w:lineRule="atLeast"/>
              <w:jc w:val="both"/>
              <w:rPr>
                <w:rFonts w:ascii="Times New Roman" w:hAnsi="Times New Roman" w:cs="Times New Roman"/>
              </w:rPr>
            </w:pPr>
            <w:r w:rsidRPr="005A58C0">
              <w:rPr>
                <w:rFonts w:ascii="Times New Roman" w:hAnsi="Times New Roman" w:cs="Times New Roman"/>
                <w:b/>
                <w:bCs/>
              </w:rPr>
              <w:t>I.</w:t>
            </w:r>
          </w:p>
          <w:p w14:paraId="0C52587D"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Art. 43. 1. Nabywca ma prawo odstąpić od umowy deweloperskiej albo umowy, o której mowa w art. 2 ust. 1 pkt 2,</w:t>
            </w:r>
          </w:p>
          <w:p w14:paraId="4E197619"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3 lub 5:</w:t>
            </w:r>
          </w:p>
          <w:p w14:paraId="41D469E2"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1) jeżeli umowa deweloperska albo umowa, o której mowa w art. 2 ust. 1 pkt 2, 3 lub 5, nie zawiera odpowiednio elementów, o których mowa w art. 35, albo elementów, o których mowa w art. 36;</w:t>
            </w:r>
          </w:p>
          <w:p w14:paraId="0CEEE3EA"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2) jeżeli informacje zawarte w umowie deweloperskiej albo umowie, o której mowa w art. 2 ust. 1 pkt 2, 3 lub 5, nie są</w:t>
            </w:r>
          </w:p>
          <w:p w14:paraId="43AA2F32"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zgodne z informacjami zawartymi w prospekcie informacyjnym lub jego załącznikach, z wyjątkiem zmian, o których</w:t>
            </w:r>
          </w:p>
          <w:p w14:paraId="72E16AED"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mowa w art. 35 ust. 2;</w:t>
            </w:r>
          </w:p>
          <w:p w14:paraId="4CCFF72A"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3) jeżeli deweloper nie doręczył zgodnie z art. 21 lub art. 22 prospektu informacyjnego wraz z załącznikami lub informacji o zmianie danych lub informacji zawartych w prospekcie informacyjnym lub jego załącznikach;</w:t>
            </w:r>
          </w:p>
          <w:p w14:paraId="6149E3D7"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4) jeżeli dane lub informacje zawarte w prospekcie informacyjnym lub jego załącznikach, na podstawie których zawarto</w:t>
            </w:r>
          </w:p>
          <w:p w14:paraId="6AB6AA49"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umowę deweloperską albo umowę, o której mowa w art. 2 ust. 1 pkt 2, 3 lub 5, są niezgodne ze stanem faktycznym</w:t>
            </w:r>
          </w:p>
          <w:p w14:paraId="7CAFA408"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lub prawnym w dniu zawarcia umowy;</w:t>
            </w:r>
          </w:p>
          <w:p w14:paraId="7934CE39"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5) jeżeli prospekt informacyjny, na podstawie którego zawarto umowę deweloperską albo umowę, o której mowa</w:t>
            </w:r>
          </w:p>
          <w:p w14:paraId="79D862B4"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 art. 2 ust. 1 pkt 2, 3 lub 5, nie zawiera danych lub informacji określonych we wzorze prospektu informacyjnego;</w:t>
            </w:r>
          </w:p>
          <w:p w14:paraId="7D4F9949"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lastRenderedPageBreak/>
              <w:t xml:space="preserve">6) w przypadku </w:t>
            </w:r>
            <w:proofErr w:type="spellStart"/>
            <w:r w:rsidRPr="005A58C0">
              <w:rPr>
                <w:rFonts w:ascii="Times New Roman" w:eastAsia="Times New Roman" w:hAnsi="Times New Roman" w:cs="Times New Roman"/>
                <w:sz w:val="20"/>
                <w:szCs w:val="20"/>
                <w:lang w:eastAsia="pl-PL"/>
              </w:rPr>
              <w:t>nieprzeniesienia</w:t>
            </w:r>
            <w:proofErr w:type="spellEnd"/>
            <w:r w:rsidRPr="005A58C0">
              <w:rPr>
                <w:rFonts w:ascii="Times New Roman" w:eastAsia="Times New Roman" w:hAnsi="Times New Roman" w:cs="Times New Roman"/>
                <w:sz w:val="20"/>
                <w:szCs w:val="20"/>
                <w:lang w:eastAsia="pl-PL"/>
              </w:rPr>
              <w:t xml:space="preserve"> na nabywcę praw wynikających z umowy deweloperskiej albo umowy, o której mowa</w:t>
            </w:r>
          </w:p>
          <w:p w14:paraId="71B87622"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 art. 2 ust. 1 pkt 2, 3 lub 5, w terminie wynikającym z tych umów;</w:t>
            </w:r>
          </w:p>
          <w:p w14:paraId="4C98F6DA"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p>
          <w:p w14:paraId="2342F6D1"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7) w przypadku gdy deweloper nie zawrze umowy mieszkaniowego rachunku powierniczego z innym bankiem w trybie</w:t>
            </w:r>
          </w:p>
          <w:p w14:paraId="5B037FCC"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i terminie, o których mowa w art. 10 ust. 1;</w:t>
            </w:r>
          </w:p>
          <w:p w14:paraId="304AA714"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8) w przypadku gdy deweloper nie posiada zgody wierzyciela hipotecznego lub zobowiązania do jej udzielenia, o których mowa w art. 25 ust. 1 pkt 1 lub 2;</w:t>
            </w:r>
          </w:p>
          <w:p w14:paraId="3AF8684F"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9) w przypadku niewykonania przez dewelopera obowiązku, o którym mowa w art. 12 ust. 2, w terminie określonym</w:t>
            </w:r>
          </w:p>
          <w:p w14:paraId="66C66175"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 tym przepisie;</w:t>
            </w:r>
          </w:p>
          <w:p w14:paraId="6395BFA3"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10) w przypadku nieusunięcia przez dewelopera wady istotnej lokalu mieszkalnego albo domu jednorodzinnego na zasadach określonych w art. 41 ust. 11;</w:t>
            </w:r>
          </w:p>
          <w:p w14:paraId="02E5ACE8"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11) w przypadku stwierdzenia przez rzeczoznawcę istnienia wady istotnej, o którym mowa w art. 41 ust. 15;</w:t>
            </w:r>
          </w:p>
          <w:p w14:paraId="4026E7D8"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12) jeżeli syndyk zażądał wykonania umowy na podstawie art. 98 ustawy z dnia 28 lutego 2003 r. – Prawo upadłościowe.</w:t>
            </w:r>
          </w:p>
          <w:p w14:paraId="2F991FB7"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2. W przypadkach, o których mowa w ust. 1 pkt 1–5, nabywca ma prawo odstąpienia od umowy deweloperskiej albo</w:t>
            </w:r>
          </w:p>
          <w:p w14:paraId="20627C95"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umowy, o której mowa w art. 2 ust. 1 pkt 2, 3 lub 5, w terminie 30 dni od dnia jej zawarcia.</w:t>
            </w:r>
          </w:p>
          <w:p w14:paraId="7D523671"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3. W przypadku, o którym mowa w ust. 1 pkt 6, przed skorzystaniem z prawa do odstąpienia od umowy nabywca</w:t>
            </w:r>
          </w:p>
          <w:p w14:paraId="55FF96D8"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wyznacza deweloperowi 120-dniowy termin na przeniesienie praw wynikających z umowy deweloperskiej albo umowy,</w:t>
            </w:r>
          </w:p>
          <w:p w14:paraId="494AB7CE"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o której mowa w art. 2 ust. 1 pkt 2, 3 lub 5, a w razie bezskutecznego upływu wyznaczonego terminu jest uprawniony do</w:t>
            </w:r>
          </w:p>
          <w:p w14:paraId="527A43C9"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odstąpienia od tej umowy. Nabywca zachowuje roszczenie z tytułu kary umownej za okres opóźnienia.</w:t>
            </w:r>
          </w:p>
          <w:p w14:paraId="378749B7"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4. W przypadku, o którym mowa w ust. 1 pkt 7, nabywca ma prawo odstąpienia od umowy deweloperskiej albo</w:t>
            </w:r>
          </w:p>
          <w:p w14:paraId="5C23C732"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umowy, o której mowa w art. 2 ust. 1 pkt 2, 3 lub 5, po dokonaniu przez bank zwrotu środków zgodnie z art. 10 ust. 3.</w:t>
            </w:r>
          </w:p>
          <w:p w14:paraId="639DC192"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5. W przypadku, o którym mowa w ust. 1 pkt 8, nabywca ma prawo odstąpienia od umowy deweloperskiej albo</w:t>
            </w:r>
          </w:p>
          <w:p w14:paraId="3617FA45"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umowy, o której mowa w art. 2 ust. 1 pkt 2, 3 lub 5, w terminie 60 dni od dnia jej zawarcia.</w:t>
            </w:r>
          </w:p>
          <w:p w14:paraId="50E9090D"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6. W przypadku, o którym mowa w ust. 1 pkt 9, nabywca ma prawo odstąpienia od umowy deweloperskiej albo</w:t>
            </w:r>
          </w:p>
          <w:p w14:paraId="170D055A"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umowy, o której mowa w art. 2 ust. 1 pkt 2, 3 lub 5, po upływie 60 dni od dnia podania do publicznej wiadomości informacji, o których mowa w art. 12 ust. 1.</w:t>
            </w:r>
          </w:p>
          <w:p w14:paraId="69930810"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7. Deweloper ma prawo odstąpić od umowy deweloperskiej albo umowy, o której mowa w art. 2 ust. 1 pkt 2, 3 lub 5,</w:t>
            </w:r>
          </w:p>
          <w:p w14:paraId="48A93AC2"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lastRenderedPageBreak/>
              <w:t>w przypadku niespełnienia przez nabywcę świadczenia pieniężnego w terminie lub wysokości określonych w umowie,</w:t>
            </w:r>
          </w:p>
          <w:p w14:paraId="1F40025D"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mimo wezwania nabywcy w formie pisemnej do uiszczenia zaległych kwot w terminie 30 dni od dnia doręczenia wezwania, chyba że niespełnienie przez nabywcę świadczenia pieniężnego jest spowodowane działaniem siły wyższej.</w:t>
            </w:r>
          </w:p>
          <w:p w14:paraId="75A7741C"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8. Deweloper ma prawo odstąpić od umowy deweloperskiej albo umowy, o której mowa w art. 2 ust. 1 pkt 2, 3 lub 5,</w:t>
            </w:r>
          </w:p>
          <w:p w14:paraId="341E5D91"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 przypadku niestawienia się nabywcy do odbioru lokalu mieszkalnego albo domu jednorodzinnego lub podpisania aktu</w:t>
            </w:r>
          </w:p>
          <w:p w14:paraId="0BF86636"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notarialnego przenoszącego na nabywcę prawa wynikające z umowy deweloperskiej albo umowy, o której mowa</w:t>
            </w:r>
          </w:p>
          <w:p w14:paraId="5375D39F"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w art. 2 ust. 1 pkt 2, 3 lub 5, mimo dwukrotnego doręczenia wezwania w formie pisemnej w odstępie co najmniej 60 dni,</w:t>
            </w:r>
          </w:p>
          <w:p w14:paraId="6A4468D4"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chyba że niestawienie się nabywcy jest spowodowane działaniem siły wyższej.</w:t>
            </w:r>
          </w:p>
          <w:p w14:paraId="5D7686B3"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b/>
                <w:bCs/>
                <w:sz w:val="20"/>
                <w:szCs w:val="20"/>
                <w:lang w:eastAsia="pl-PL"/>
              </w:rPr>
            </w:pPr>
            <w:r w:rsidRPr="005A58C0">
              <w:rPr>
                <w:rFonts w:ascii="Times New Roman" w:eastAsia="Times New Roman" w:hAnsi="Times New Roman" w:cs="Times New Roman"/>
                <w:b/>
                <w:bCs/>
                <w:sz w:val="20"/>
                <w:szCs w:val="20"/>
                <w:lang w:eastAsia="pl-PL"/>
              </w:rPr>
              <w:t>II.</w:t>
            </w:r>
          </w:p>
          <w:p w14:paraId="271A5A45"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Jeżeli rzeczywista powierzchnia użytkowa Lokalu będzie się różnić od projektowanej powierzchni użytkowej Lokalu o więcej niż 2 % (dwa procent), wówczas Nabywcy przysługuje prawo odstąpienia od umowy deweloperskiej w terminie 7 (siedmiu) dni od otrzymania powiadomienia o dokonanym pomiarze.</w:t>
            </w:r>
          </w:p>
          <w:p w14:paraId="771F9103" w14:textId="29EB62C5"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p>
        </w:tc>
      </w:tr>
      <w:tr w:rsidR="005A58C0" w:rsidRPr="005A58C0" w14:paraId="5602F50C" w14:textId="77777777" w:rsidTr="00E06B7E">
        <w:trPr>
          <w:trHeight w:val="510"/>
        </w:trPr>
        <w:tc>
          <w:tcPr>
            <w:tcW w:w="9629" w:type="dxa"/>
            <w:gridSpan w:val="3"/>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D44FB6" w14:textId="77777777" w:rsidR="00940D9F" w:rsidRPr="005A58C0" w:rsidRDefault="00940D9F" w:rsidP="00940D9F">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lastRenderedPageBreak/>
              <w:t xml:space="preserve">INNE INFORMACJE </w:t>
            </w:r>
          </w:p>
        </w:tc>
      </w:tr>
      <w:tr w:rsidR="005A58C0" w:rsidRPr="005A58C0" w14:paraId="1B1A8505" w14:textId="77777777" w:rsidTr="00E06B7E">
        <w:trPr>
          <w:trHeight w:val="1512"/>
        </w:trPr>
        <w:tc>
          <w:tcPr>
            <w:tcW w:w="9629" w:type="dxa"/>
            <w:gridSpan w:val="3"/>
            <w:tcBorders>
              <w:top w:val="nil"/>
              <w:left w:val="single" w:sz="8" w:space="0" w:color="auto"/>
              <w:bottom w:val="nil"/>
              <w:right w:val="single" w:sz="8" w:space="0" w:color="auto"/>
            </w:tcBorders>
            <w:shd w:val="clear" w:color="auto" w:fill="F3F3F3"/>
            <w:tcMar>
              <w:top w:w="0" w:type="dxa"/>
              <w:left w:w="108" w:type="dxa"/>
              <w:bottom w:w="0" w:type="dxa"/>
              <w:right w:w="108" w:type="dxa"/>
            </w:tcMar>
            <w:hideMark/>
          </w:tcPr>
          <w:p w14:paraId="40EC0F07"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1)   Bank wyda zgodę na </w:t>
            </w:r>
            <w:proofErr w:type="spellStart"/>
            <w:r w:rsidRPr="005A58C0">
              <w:rPr>
                <w:rFonts w:ascii="Times New Roman" w:eastAsia="Times New Roman" w:hAnsi="Times New Roman" w:cs="Times New Roman"/>
                <w:sz w:val="20"/>
                <w:szCs w:val="20"/>
                <w:lang w:eastAsia="pl-PL"/>
              </w:rPr>
              <w:t>bezobciążeniowe</w:t>
            </w:r>
            <w:proofErr w:type="spellEnd"/>
            <w:r w:rsidRPr="005A58C0">
              <w:rPr>
                <w:rFonts w:ascii="Times New Roman" w:eastAsia="Times New Roman" w:hAnsi="Times New Roman" w:cs="Times New Roman"/>
                <w:sz w:val="20"/>
                <w:szCs w:val="20"/>
                <w:lang w:eastAsia="pl-PL"/>
              </w:rPr>
              <w:t xml:space="preserve"> ustanowienie odrębnej własności lokalu mieszkalnego i przeniesienie jego własności na nabywcę po wpłacie pełnej ceny przez nabywcę. </w:t>
            </w:r>
          </w:p>
          <w:p w14:paraId="4E29226D" w14:textId="3B0960CD" w:rsidR="0070472A" w:rsidRPr="005A58C0" w:rsidRDefault="0070472A" w:rsidP="0070472A">
            <w:pPr>
              <w:autoSpaceDN w:val="0"/>
              <w:spacing w:before="144" w:after="144" w:line="240" w:lineRule="auto"/>
              <w:ind w:left="313" w:hanging="313"/>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2)   Bank wyda zgodę na </w:t>
            </w:r>
            <w:proofErr w:type="spellStart"/>
            <w:r w:rsidRPr="005A58C0">
              <w:rPr>
                <w:rFonts w:ascii="Times New Roman" w:eastAsia="Times New Roman" w:hAnsi="Times New Roman" w:cs="Times New Roman"/>
                <w:sz w:val="20"/>
                <w:szCs w:val="20"/>
                <w:lang w:eastAsia="pl-PL"/>
              </w:rPr>
              <w:t>bezobciążeniowe</w:t>
            </w:r>
            <w:proofErr w:type="spellEnd"/>
            <w:r w:rsidRPr="005A58C0">
              <w:rPr>
                <w:rFonts w:ascii="Times New Roman" w:eastAsia="Times New Roman" w:hAnsi="Times New Roman" w:cs="Times New Roman"/>
                <w:sz w:val="20"/>
                <w:szCs w:val="20"/>
                <w:lang w:eastAsia="pl-PL"/>
              </w:rPr>
              <w:t xml:space="preserve"> przeniesienie własności lokalu użytkowego na nabywcę po wpłacie pełnej ceny przez nabywcę </w:t>
            </w:r>
          </w:p>
        </w:tc>
      </w:tr>
      <w:tr w:rsidR="005A58C0" w:rsidRPr="005A58C0" w14:paraId="70326ECA" w14:textId="77777777" w:rsidTr="00E06B7E">
        <w:trPr>
          <w:trHeight w:val="1512"/>
        </w:trPr>
        <w:tc>
          <w:tcPr>
            <w:tcW w:w="9629" w:type="dxa"/>
            <w:gridSpan w:val="3"/>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68207FE"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II. Nabywca ma możliwość zapoznania się w lokalu przedsiębiorstwa przez osobę zainteresowaną zawarciem umowy odpowiednio do zakresu umowy z:</w:t>
            </w:r>
          </w:p>
          <w:p w14:paraId="55798E96" w14:textId="77777777"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1)      aktualnym stanem księgi wieczystej prowadzonej dla nieruchomości;</w:t>
            </w:r>
          </w:p>
          <w:p w14:paraId="335FFF3D" w14:textId="77777777"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04CF8C79" w14:textId="5633C155"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3)     pozwoleniem na budowę albo zgłoszeniem budowy, o którym mowa w art. 29 ust. 1 pkt 1 ustawy z dnia 7 lipca 1994 r. – Prawo budowlane, do którego organ administracji architektoniczno-budowlanej nie wniósł sprzeciwu;</w:t>
            </w:r>
          </w:p>
          <w:p w14:paraId="294CB21C" w14:textId="77777777"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4)      sprawozdaniem finansowym dewelopera za ostatnie dwa lata, a w przypadku:</w:t>
            </w:r>
          </w:p>
          <w:p w14:paraId="7E599FD4" w14:textId="77777777" w:rsidR="0070472A" w:rsidRPr="005A58C0" w:rsidRDefault="0070472A" w:rsidP="0070472A">
            <w:pPr>
              <w:spacing w:after="0" w:line="240" w:lineRule="auto"/>
              <w:ind w:left="73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a)  prowadzenia działalności przez okres krótszy niż dwa lata – sprawozdaniem finansowym za okres ostatniego roku,</w:t>
            </w:r>
          </w:p>
          <w:p w14:paraId="4F55890B" w14:textId="77777777" w:rsidR="0070472A" w:rsidRPr="005A58C0" w:rsidRDefault="0070472A" w:rsidP="0070472A">
            <w:pPr>
              <w:spacing w:after="0" w:line="240" w:lineRule="auto"/>
              <w:ind w:left="73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b)  realizacji inwestycji przez spółkę celową – sprawozdaniem spółki dominującej oraz spółki celowej;</w:t>
            </w:r>
          </w:p>
          <w:p w14:paraId="1F773CBF" w14:textId="77777777"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5)      projektem budowlanym;</w:t>
            </w:r>
          </w:p>
          <w:p w14:paraId="3C622562" w14:textId="77777777"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6)      decyzją o pozwoleniu na użytkowanie budynku lub zawiadomieniem o zakończeniu budowy, do którego organ nadzoru budowlanego nie wniósł sprzeciwu; - </w:t>
            </w:r>
            <w:r w:rsidRPr="005A58C0">
              <w:rPr>
                <w:rFonts w:ascii="Times New Roman" w:eastAsia="Times New Roman" w:hAnsi="Times New Roman" w:cs="Times New Roman"/>
                <w:b/>
                <w:bCs/>
                <w:sz w:val="20"/>
                <w:szCs w:val="20"/>
                <w:lang w:eastAsia="pl-PL"/>
              </w:rPr>
              <w:t>po ich wydaniu</w:t>
            </w:r>
          </w:p>
          <w:p w14:paraId="1C40EAB5" w14:textId="77777777"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7)      zaświadczeniem o samodzielności lokalu; - </w:t>
            </w:r>
            <w:r w:rsidRPr="005A58C0">
              <w:rPr>
                <w:rFonts w:ascii="Times New Roman" w:eastAsia="Times New Roman" w:hAnsi="Times New Roman" w:cs="Times New Roman"/>
                <w:b/>
                <w:bCs/>
                <w:sz w:val="20"/>
                <w:szCs w:val="20"/>
                <w:lang w:eastAsia="pl-PL"/>
              </w:rPr>
              <w:t>po ich wydaniu</w:t>
            </w:r>
          </w:p>
          <w:p w14:paraId="0178EDE3" w14:textId="77777777"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8)      aktem ustanowienia odrębnej własności lokalu; - </w:t>
            </w:r>
            <w:r w:rsidRPr="005A58C0">
              <w:rPr>
                <w:rFonts w:ascii="Times New Roman" w:eastAsia="Times New Roman" w:hAnsi="Times New Roman" w:cs="Times New Roman"/>
                <w:b/>
                <w:bCs/>
                <w:sz w:val="20"/>
                <w:szCs w:val="20"/>
                <w:lang w:eastAsia="pl-PL"/>
              </w:rPr>
              <w:t>po ich wydaniu</w:t>
            </w:r>
          </w:p>
          <w:p w14:paraId="174ABF8F" w14:textId="77777777" w:rsidR="0070472A" w:rsidRPr="005A58C0" w:rsidRDefault="0070472A" w:rsidP="0070472A">
            <w:pPr>
              <w:autoSpaceDN w:val="0"/>
              <w:spacing w:after="0" w:line="240" w:lineRule="auto"/>
              <w:ind w:left="738" w:hanging="378"/>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9)      dokumentem potwierdzającym:</w:t>
            </w:r>
          </w:p>
          <w:p w14:paraId="29A39D3B" w14:textId="1A8CBBD0" w:rsidR="0070472A" w:rsidRPr="005A58C0" w:rsidRDefault="0070472A" w:rsidP="0070472A">
            <w:pPr>
              <w:autoSpaceDN w:val="0"/>
              <w:spacing w:after="0" w:line="240" w:lineRule="auto"/>
              <w:ind w:left="1163" w:hanging="425"/>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a)      zgodę banku lub innego wierzyciela hipotecznego na </w:t>
            </w:r>
            <w:proofErr w:type="spellStart"/>
            <w:r w:rsidRPr="005A58C0">
              <w:rPr>
                <w:rFonts w:ascii="Times New Roman" w:eastAsia="Times New Roman" w:hAnsi="Times New Roman" w:cs="Times New Roman"/>
                <w:sz w:val="20"/>
                <w:szCs w:val="20"/>
                <w:lang w:eastAsia="pl-PL"/>
              </w:rPr>
              <w:t>bezobciążeniowe</w:t>
            </w:r>
            <w:proofErr w:type="spellEnd"/>
            <w:r w:rsidRPr="005A58C0">
              <w:rPr>
                <w:rFonts w:ascii="Times New Roman" w:eastAsia="Times New Roman" w:hAnsi="Times New Roman" w:cs="Times New Roman"/>
                <w:sz w:val="20"/>
                <w:szCs w:val="20"/>
                <w:lang w:eastAsia="pl-PL"/>
              </w:rPr>
              <w:t xml:space="preserve"> ustanowienie odrębnej własności lokalu mieszkalnego i przeniesienie jego własności na nabywcę po wpłacie pełnej ceny przez nabywcę lub zobowiązanie do jej udzielenia, jeżeli takie obciążenie istnieje, albo zgodę banku lub innego wierzyciela hipotecznego na </w:t>
            </w:r>
            <w:proofErr w:type="spellStart"/>
            <w:r w:rsidRPr="005A58C0">
              <w:rPr>
                <w:rFonts w:ascii="Times New Roman" w:eastAsia="Times New Roman" w:hAnsi="Times New Roman" w:cs="Times New Roman"/>
                <w:sz w:val="20"/>
                <w:szCs w:val="20"/>
                <w:lang w:eastAsia="pl-PL"/>
              </w:rPr>
              <w:t>bezobciążeniowe</w:t>
            </w:r>
            <w:proofErr w:type="spellEnd"/>
            <w:r w:rsidRPr="005A58C0">
              <w:rPr>
                <w:rFonts w:ascii="Times New Roman" w:eastAsia="Times New Roman" w:hAnsi="Times New Roman" w:cs="Times New Roman"/>
                <w:sz w:val="20"/>
                <w:szCs w:val="20"/>
                <w:lang w:eastAsia="pl-P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w:t>
            </w:r>
            <w:r w:rsidRPr="005A58C0">
              <w:rPr>
                <w:rFonts w:ascii="Times New Roman" w:eastAsia="Times New Roman" w:hAnsi="Times New Roman" w:cs="Times New Roman"/>
                <w:sz w:val="20"/>
                <w:szCs w:val="20"/>
                <w:lang w:eastAsia="pl-PL"/>
              </w:rPr>
              <w:lastRenderedPageBreak/>
              <w:t xml:space="preserve">służącej zaspokajaniu potrzeb mieszkaniowych po wpłacie pełnej ceny przez nabywcę lub zobowiązanie do jej udzielenia, jeżeli takie obciążenie istnieje, </w:t>
            </w:r>
          </w:p>
          <w:p w14:paraId="14327EAD" w14:textId="485CEBC5" w:rsidR="0070472A" w:rsidRPr="005A58C0" w:rsidRDefault="0070472A" w:rsidP="0070472A">
            <w:pPr>
              <w:autoSpaceDN w:val="0"/>
              <w:spacing w:after="0" w:line="240" w:lineRule="auto"/>
              <w:ind w:left="1163" w:hanging="425"/>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b)      w przypadku umów, o których mowa w art. 2 ust. 2 ustawy z dnia 20 maja 2021 r. o ochronie praw nabywcy lokalu mieszkalnego lub domu jednorodzinnego oraz Deweloperskim Funduszu Gwarancyjnym, zgodę banku lub innego wierzyciela hipotecznego na </w:t>
            </w:r>
            <w:proofErr w:type="spellStart"/>
            <w:r w:rsidRPr="005A58C0">
              <w:rPr>
                <w:rFonts w:ascii="Times New Roman" w:eastAsia="Times New Roman" w:hAnsi="Times New Roman" w:cs="Times New Roman"/>
                <w:sz w:val="20"/>
                <w:szCs w:val="20"/>
                <w:lang w:eastAsia="pl-PL"/>
              </w:rPr>
              <w:t>bezobciążeniowe</w:t>
            </w:r>
            <w:proofErr w:type="spellEnd"/>
            <w:r w:rsidRPr="005A58C0">
              <w:rPr>
                <w:rFonts w:ascii="Times New Roman" w:eastAsia="Times New Roman" w:hAnsi="Times New Roman" w:cs="Times New Roman"/>
                <w:sz w:val="20"/>
                <w:szCs w:val="20"/>
                <w:lang w:eastAsia="pl-PL"/>
              </w:rPr>
              <w:t xml:space="preserve"> przeniesienie własności lokalu użytkowego na nabywcę po wpłacie pełnej ceny przez nabywcę lub zobowiązanie do udzielenia takiej zgody, jeżeli takie obciążenie istnieje, albo zgodę banku lub innego wierzyciela hipotecznego na </w:t>
            </w:r>
            <w:proofErr w:type="spellStart"/>
            <w:r w:rsidRPr="005A58C0">
              <w:rPr>
                <w:rFonts w:ascii="Times New Roman" w:eastAsia="Times New Roman" w:hAnsi="Times New Roman" w:cs="Times New Roman"/>
                <w:sz w:val="20"/>
                <w:szCs w:val="20"/>
                <w:lang w:eastAsia="pl-PL"/>
              </w:rPr>
              <w:t>bezobciążeniowe</w:t>
            </w:r>
            <w:proofErr w:type="spellEnd"/>
            <w:r w:rsidRPr="005A58C0">
              <w:rPr>
                <w:rFonts w:ascii="Times New Roman" w:eastAsia="Times New Roman" w:hAnsi="Times New Roman" w:cs="Times New Roman"/>
                <w:sz w:val="20"/>
                <w:szCs w:val="20"/>
                <w:lang w:eastAsia="pl-PL"/>
              </w:rPr>
              <w:t xml:space="preserve"> przeniesienie na nabywcę ułamkowej części własności lokalu użytkowego po wpłacie pełnej ceny przez nabywcę lub zobowiązanie do udzielenia takiej zgody, jeżeli takie obciążenie istnieje </w:t>
            </w:r>
            <w:r w:rsidRPr="005A58C0">
              <w:rPr>
                <w:rFonts w:ascii="Times New Roman" w:eastAsia="Times New Roman" w:hAnsi="Times New Roman" w:cs="Times New Roman"/>
                <w:b/>
                <w:bCs/>
                <w:sz w:val="20"/>
                <w:szCs w:val="20"/>
                <w:lang w:eastAsia="pl-PL"/>
              </w:rPr>
              <w:t>- po ich wydaniu</w:t>
            </w:r>
          </w:p>
        </w:tc>
      </w:tr>
      <w:tr w:rsidR="005A58C0" w:rsidRPr="005A58C0" w14:paraId="369C37C5" w14:textId="77777777" w:rsidTr="00E06B7E">
        <w:trPr>
          <w:trHeight w:val="1512"/>
        </w:trPr>
        <w:tc>
          <w:tcPr>
            <w:tcW w:w="9629"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73D4FD"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lastRenderedPageBreak/>
              <w:t>III. Informacja:</w:t>
            </w:r>
          </w:p>
          <w:p w14:paraId="43BEAF06" w14:textId="26524A09"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Środki pieniężne zgromadzone w </w:t>
            </w:r>
            <w:r w:rsidRPr="005A58C0">
              <w:rPr>
                <w:rFonts w:ascii="Times New Roman" w:eastAsia="Times New Roman" w:hAnsi="Times New Roman" w:cs="Times New Roman"/>
                <w:b/>
                <w:bCs/>
                <w:sz w:val="20"/>
                <w:szCs w:val="20"/>
                <w:lang w:eastAsia="pl-PL"/>
              </w:rPr>
              <w:t>mBanku S.A.</w:t>
            </w:r>
            <w:r w:rsidRPr="005A58C0">
              <w:rPr>
                <w:rFonts w:ascii="Times New Roman" w:eastAsia="Times New Roman" w:hAnsi="Times New Roman" w:cs="Times New Roman"/>
                <w:sz w:val="20"/>
                <w:szCs w:val="20"/>
                <w:lang w:eastAsia="pl-PL"/>
              </w:rPr>
              <w:t xml:space="preserve">  [nazwa banku prowadzącego mieszkaniowy rachunek powierniczy],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w:t>
            </w:r>
          </w:p>
          <w:p w14:paraId="054D4D1A"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p>
          <w:p w14:paraId="0193A2B6"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Informacje podstawowe o obowiązkowym systemie gwarantowania depozytów:</w:t>
            </w:r>
          </w:p>
          <w:p w14:paraId="17D5BF71" w14:textId="22A3C294" w:rsidR="0070472A" w:rsidRPr="005A58C0" w:rsidRDefault="0070472A" w:rsidP="0070472A">
            <w:pPr>
              <w:autoSpaceDN w:val="0"/>
              <w:spacing w:before="144" w:after="144" w:line="240" w:lineRule="auto"/>
              <w:ind w:left="313" w:hanging="313"/>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    ochrona środków dotyczy sytuacji spełnienia warunku gwarancji wobec </w:t>
            </w:r>
            <w:r w:rsidRPr="005A58C0">
              <w:rPr>
                <w:rFonts w:ascii="Times New Roman" w:eastAsia="Times New Roman" w:hAnsi="Times New Roman" w:cs="Times New Roman"/>
                <w:b/>
                <w:bCs/>
                <w:sz w:val="20"/>
                <w:szCs w:val="20"/>
                <w:lang w:eastAsia="pl-PL"/>
              </w:rPr>
              <w:t>mBanku S.A</w:t>
            </w:r>
            <w:r w:rsidRPr="005A58C0">
              <w:rPr>
                <w:rFonts w:ascii="Times New Roman" w:eastAsia="Times New Roman" w:hAnsi="Times New Roman" w:cs="Times New Roman"/>
                <w:sz w:val="20"/>
                <w:szCs w:val="20"/>
                <w:lang w:eastAsia="pl-PL"/>
              </w:rPr>
              <w:t>.………… [nazwa banku prowadzącego mieszkaniowy rachunek powierniczy],</w:t>
            </w:r>
          </w:p>
          <w:p w14:paraId="7E1E02AD" w14:textId="77777777" w:rsidR="0070472A" w:rsidRPr="005A58C0" w:rsidRDefault="0070472A" w:rsidP="0070472A">
            <w:pPr>
              <w:autoSpaceDN w:val="0"/>
              <w:spacing w:before="144" w:after="144" w:line="240" w:lineRule="auto"/>
              <w:ind w:left="313" w:hanging="313"/>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6059AE21" w14:textId="77777777" w:rsidR="0070472A" w:rsidRPr="005A58C0" w:rsidRDefault="0070472A" w:rsidP="0070472A">
            <w:pPr>
              <w:autoSpaceDN w:val="0"/>
              <w:spacing w:before="144" w:after="144" w:line="240" w:lineRule="auto"/>
              <w:ind w:left="313" w:hanging="313"/>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6B7A1335" w14:textId="77777777" w:rsidR="0070472A" w:rsidRPr="005A58C0" w:rsidRDefault="0070472A" w:rsidP="0070472A">
            <w:pPr>
              <w:autoSpaceDN w:val="0"/>
              <w:spacing w:before="144" w:after="144" w:line="240" w:lineRule="auto"/>
              <w:ind w:left="313" w:hanging="313"/>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w:t>
            </w:r>
          </w:p>
          <w:p w14:paraId="453FD5AF" w14:textId="77777777" w:rsidR="0070472A" w:rsidRPr="005A58C0" w:rsidRDefault="0070472A" w:rsidP="0070472A">
            <w:pPr>
              <w:autoSpaceDN w:val="0"/>
              <w:spacing w:before="144" w:after="144" w:line="240" w:lineRule="auto"/>
              <w:ind w:left="313" w:hanging="313"/>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wypłata środków gwarantowanych – co do zasady – następuje w terminie 7 dni roboczych od dnia spełnienia warunku gwarancji wobec banku,</w:t>
            </w:r>
          </w:p>
          <w:p w14:paraId="3CF5771C" w14:textId="77777777" w:rsidR="0070472A" w:rsidRPr="005A58C0" w:rsidRDefault="0070472A" w:rsidP="0070472A">
            <w:pPr>
              <w:autoSpaceDN w:val="0"/>
              <w:spacing w:before="144" w:after="144" w:line="240" w:lineRule="auto"/>
              <w:ind w:left="313" w:hanging="313"/>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wypłata środków gwarantowanych jest dokonywana w złotych,</w:t>
            </w:r>
          </w:p>
          <w:p w14:paraId="2FE75386" w14:textId="49266CCD" w:rsidR="0070472A" w:rsidRPr="005A58C0" w:rsidRDefault="0070472A" w:rsidP="0070472A">
            <w:pPr>
              <w:autoSpaceDN w:val="0"/>
              <w:spacing w:before="144" w:after="144" w:line="240" w:lineRule="auto"/>
              <w:ind w:left="313" w:hanging="313"/>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w:t>
            </w:r>
            <w:r w:rsidRPr="005A58C0">
              <w:rPr>
                <w:rFonts w:ascii="Times New Roman" w:eastAsia="Times New Roman" w:hAnsi="Times New Roman" w:cs="Times New Roman"/>
                <w:b/>
                <w:bCs/>
                <w:sz w:val="20"/>
                <w:szCs w:val="20"/>
                <w:lang w:eastAsia="pl-PL"/>
              </w:rPr>
              <w:t>mBank S.A</w:t>
            </w:r>
            <w:r w:rsidRPr="005A58C0">
              <w:rPr>
                <w:rFonts w:ascii="Times New Roman" w:eastAsia="Times New Roman" w:hAnsi="Times New Roman" w:cs="Times New Roman"/>
                <w:sz w:val="20"/>
                <w:szCs w:val="20"/>
                <w:lang w:eastAsia="pl-PL"/>
              </w:rPr>
              <w:t>. [nazwa banku prowadzącego mieszkaniowy rachunek powierniczy] korzysta także z następujących znaków towarowych: ………NIE DOTYCZY…</w:t>
            </w:r>
          </w:p>
          <w:p w14:paraId="587C1A2A" w14:textId="77777777"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Dalsze informacje na temat systemu gwarantowania depozytów można uzyskać na stronie internetowej Bankowego Funduszu Gwarancyjnego: https://www.bfg.pl/.</w:t>
            </w:r>
          </w:p>
          <w:p w14:paraId="2C0498F9" w14:textId="77777777" w:rsidR="0070472A" w:rsidRPr="005A58C0" w:rsidRDefault="0070472A" w:rsidP="0070472A">
            <w:pPr>
              <w:autoSpaceDN w:val="0"/>
              <w:spacing w:after="0" w:line="240" w:lineRule="auto"/>
              <w:ind w:left="720" w:hanging="720"/>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IV.   Informacja zamieszczana w przypadku zawarcia umowy mieszkaniowego rachunku powierniczego z oddziałem instytucji kredytowej w rozumieniu art. 4 ust. 1 pkt 18 ustawy z dnia 29 sierpnia 1997 r. – Prawo bankowe (Dz. U. z 2020 r. poz. 1896,  2320 i 2419 oraz z 2021 r. poz. 432, 680, 815 i 1177).</w:t>
            </w:r>
          </w:p>
          <w:p w14:paraId="3AD91F8D" w14:textId="476D4885" w:rsidR="0070472A" w:rsidRPr="005A58C0" w:rsidRDefault="0070472A" w:rsidP="0070472A">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2214485A" w14:textId="77777777" w:rsidR="001B2EF6" w:rsidRPr="005A58C0" w:rsidRDefault="001B2EF6" w:rsidP="001B2EF6">
      <w:pPr>
        <w:autoSpaceDN w:val="0"/>
        <w:spacing w:before="144" w:after="144" w:line="240" w:lineRule="auto"/>
        <w:jc w:val="right"/>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p>
    <w:p w14:paraId="7F28589E"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CZĘŚĆ INDYWIDUALNA</w:t>
      </w:r>
    </w:p>
    <w:p w14:paraId="49DCA0E1" w14:textId="77777777" w:rsidR="001B2EF6" w:rsidRPr="005A58C0"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p>
    <w:tbl>
      <w:tblPr>
        <w:tblW w:w="0" w:type="auto"/>
        <w:tblCellMar>
          <w:left w:w="0" w:type="dxa"/>
          <w:right w:w="0" w:type="dxa"/>
        </w:tblCellMar>
        <w:tblLook w:val="04A0" w:firstRow="1" w:lastRow="0" w:firstColumn="1" w:lastColumn="0" w:noHBand="0" w:noVBand="1"/>
      </w:tblPr>
      <w:tblGrid>
        <w:gridCol w:w="2999"/>
        <w:gridCol w:w="1953"/>
        <w:gridCol w:w="4100"/>
      </w:tblGrid>
      <w:tr w:rsidR="005A58C0" w:rsidRPr="005A58C0" w14:paraId="0F030AD6" w14:textId="77777777" w:rsidTr="00940D9F">
        <w:tc>
          <w:tcPr>
            <w:tcW w:w="299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014BEC4"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lastRenderedPageBreak/>
              <w:t>Cena lokalu mieszkalnego albo domu jednorodzinnego</w:t>
            </w:r>
          </w:p>
        </w:tc>
        <w:tc>
          <w:tcPr>
            <w:tcW w:w="60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E735AE" w14:textId="73154E8B" w:rsidR="001B2EF6" w:rsidRPr="005A58C0" w:rsidRDefault="00381B23" w:rsidP="001B2EF6">
            <w:pPr>
              <w:autoSpaceDN w:val="0"/>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w:t>
            </w:r>
            <w:r w:rsidR="00985E9D" w:rsidRPr="00985E9D">
              <w:rPr>
                <w:rFonts w:ascii="Times New Roman" w:eastAsia="Times New Roman" w:hAnsi="Times New Roman" w:cs="Times New Roman"/>
                <w:b/>
                <w:bCs/>
                <w:sz w:val="20"/>
                <w:szCs w:val="20"/>
                <w:lang w:eastAsia="pl-PL"/>
              </w:rPr>
              <w:t xml:space="preserve"> zł</w:t>
            </w:r>
          </w:p>
        </w:tc>
      </w:tr>
      <w:tr w:rsidR="005A58C0" w:rsidRPr="005A58C0" w14:paraId="1FD30A8F" w14:textId="77777777" w:rsidTr="00996342">
        <w:tc>
          <w:tcPr>
            <w:tcW w:w="2999" w:type="dxa"/>
            <w:tcBorders>
              <w:top w:val="nil"/>
              <w:left w:val="single" w:sz="8" w:space="0" w:color="auto"/>
              <w:bottom w:val="single" w:sz="4" w:space="0" w:color="auto"/>
              <w:right w:val="single" w:sz="8" w:space="0" w:color="auto"/>
            </w:tcBorders>
            <w:shd w:val="clear" w:color="auto" w:fill="F2F2F2"/>
            <w:tcMar>
              <w:top w:w="0" w:type="dxa"/>
              <w:left w:w="108" w:type="dxa"/>
              <w:bottom w:w="0" w:type="dxa"/>
              <w:right w:w="108" w:type="dxa"/>
            </w:tcMar>
            <w:hideMark/>
          </w:tcPr>
          <w:p w14:paraId="02C3772F"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Powierzchnia użytkowa lokalu mieszkalnego albo domu jednorodzinnego</w:t>
            </w:r>
          </w:p>
        </w:tc>
        <w:tc>
          <w:tcPr>
            <w:tcW w:w="605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1FBFE579" w14:textId="020F2634" w:rsidR="001B2EF6" w:rsidRPr="005A58C0" w:rsidRDefault="00381B23" w:rsidP="001B2EF6">
            <w:pPr>
              <w:autoSpaceDN w:val="0"/>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w:t>
            </w:r>
            <w:r w:rsidR="00985E9D" w:rsidRPr="00985E9D">
              <w:rPr>
                <w:rFonts w:ascii="Times New Roman" w:eastAsia="Times New Roman" w:hAnsi="Times New Roman" w:cs="Times New Roman"/>
                <w:b/>
                <w:bCs/>
                <w:sz w:val="20"/>
                <w:szCs w:val="20"/>
                <w:lang w:eastAsia="pl-PL"/>
              </w:rPr>
              <w:t xml:space="preserve"> m2</w:t>
            </w:r>
          </w:p>
        </w:tc>
      </w:tr>
      <w:tr w:rsidR="005A58C0" w:rsidRPr="005A58C0" w14:paraId="47A64B6E" w14:textId="77777777" w:rsidTr="00996342">
        <w:tc>
          <w:tcPr>
            <w:tcW w:w="29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E48D1E2"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Cena m</w:t>
            </w:r>
            <w:r w:rsidRPr="005A58C0">
              <w:rPr>
                <w:rFonts w:ascii="Times New Roman" w:eastAsia="Times New Roman" w:hAnsi="Times New Roman" w:cs="Times New Roman"/>
                <w:sz w:val="20"/>
                <w:szCs w:val="20"/>
                <w:vertAlign w:val="superscript"/>
                <w:lang w:eastAsia="pl-PL"/>
              </w:rPr>
              <w:t>2</w:t>
            </w:r>
            <w:r w:rsidRPr="005A58C0">
              <w:rPr>
                <w:rFonts w:ascii="Times New Roman" w:eastAsia="Times New Roman" w:hAnsi="Times New Roman" w:cs="Times New Roman"/>
                <w:sz w:val="20"/>
                <w:szCs w:val="20"/>
                <w:lang w:eastAsia="pl-PL"/>
              </w:rPr>
              <w:t xml:space="preserve"> powierzchni użytkowej lokalu mieszkalnego albo domu jednorodzinnego</w:t>
            </w:r>
          </w:p>
        </w:tc>
        <w:tc>
          <w:tcPr>
            <w:tcW w:w="60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8C54F" w14:textId="63826851" w:rsidR="001B2EF6" w:rsidRPr="005A58C0" w:rsidRDefault="00381B23" w:rsidP="001B2EF6">
            <w:pPr>
              <w:autoSpaceDN w:val="0"/>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w:t>
            </w:r>
            <w:r w:rsidR="00985E9D" w:rsidRPr="00985E9D">
              <w:rPr>
                <w:rFonts w:ascii="Times New Roman" w:eastAsia="Times New Roman" w:hAnsi="Times New Roman" w:cs="Times New Roman"/>
                <w:b/>
                <w:bCs/>
                <w:sz w:val="20"/>
                <w:szCs w:val="20"/>
                <w:lang w:eastAsia="pl-PL"/>
              </w:rPr>
              <w:t xml:space="preserve"> zł</w:t>
            </w:r>
          </w:p>
        </w:tc>
      </w:tr>
      <w:tr w:rsidR="005A58C0" w:rsidRPr="005A58C0" w14:paraId="4FB7AE0F" w14:textId="77777777" w:rsidTr="00996342">
        <w:tc>
          <w:tcPr>
            <w:tcW w:w="299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1A88BBC"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 </w:t>
            </w:r>
          </w:p>
        </w:tc>
        <w:tc>
          <w:tcPr>
            <w:tcW w:w="605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057DCB" w14:textId="65389402" w:rsidR="001B2EF6" w:rsidRPr="005A58C0"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r w:rsidR="00B32545">
              <w:rPr>
                <w:rFonts w:ascii="Times New Roman" w:eastAsia="Times New Roman" w:hAnsi="Times New Roman" w:cs="Times New Roman"/>
                <w:b/>
                <w:bCs/>
                <w:sz w:val="20"/>
                <w:szCs w:val="20"/>
                <w:lang w:eastAsia="pl-PL"/>
              </w:rPr>
              <w:t>15.05.</w:t>
            </w:r>
            <w:r w:rsidR="0075646B">
              <w:rPr>
                <w:rFonts w:ascii="Times New Roman" w:eastAsia="Times New Roman" w:hAnsi="Times New Roman" w:cs="Times New Roman"/>
                <w:b/>
                <w:bCs/>
                <w:sz w:val="20"/>
                <w:szCs w:val="20"/>
                <w:lang w:eastAsia="pl-PL"/>
              </w:rPr>
              <w:t>202</w:t>
            </w:r>
            <w:r w:rsidR="00CF16FB">
              <w:rPr>
                <w:rFonts w:ascii="Times New Roman" w:eastAsia="Times New Roman" w:hAnsi="Times New Roman" w:cs="Times New Roman"/>
                <w:b/>
                <w:bCs/>
                <w:sz w:val="20"/>
                <w:szCs w:val="20"/>
                <w:lang w:eastAsia="pl-PL"/>
              </w:rPr>
              <w:t>6</w:t>
            </w:r>
            <w:r w:rsidR="0075646B">
              <w:rPr>
                <w:rFonts w:ascii="Times New Roman" w:eastAsia="Times New Roman" w:hAnsi="Times New Roman" w:cs="Times New Roman"/>
                <w:b/>
                <w:bCs/>
                <w:sz w:val="20"/>
                <w:szCs w:val="20"/>
                <w:lang w:eastAsia="pl-PL"/>
              </w:rPr>
              <w:t>r</w:t>
            </w:r>
          </w:p>
        </w:tc>
      </w:tr>
      <w:tr w:rsidR="005A58C0" w:rsidRPr="005A58C0" w14:paraId="1BE24D94" w14:textId="77777777" w:rsidTr="00996342">
        <w:trPr>
          <w:trHeight w:val="528"/>
        </w:trPr>
        <w:tc>
          <w:tcPr>
            <w:tcW w:w="2999" w:type="dxa"/>
            <w:vMerge w:val="restart"/>
            <w:tcBorders>
              <w:top w:val="nil"/>
              <w:left w:val="single" w:sz="8" w:space="0" w:color="auto"/>
              <w:bottom w:val="nil"/>
              <w:right w:val="single" w:sz="8" w:space="0" w:color="auto"/>
            </w:tcBorders>
            <w:shd w:val="clear" w:color="auto" w:fill="F2F2F2"/>
            <w:tcMar>
              <w:top w:w="0" w:type="dxa"/>
              <w:left w:w="108" w:type="dxa"/>
              <w:bottom w:w="0" w:type="dxa"/>
              <w:right w:w="108" w:type="dxa"/>
            </w:tcMar>
            <w:hideMark/>
          </w:tcPr>
          <w:p w14:paraId="549D6312"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Określenie położenia oraz istotnych cech domu jednorodzinnego albo budynku, w którym ma znajdować się lokal mieszkalny będący przedmiotem umowy rezerwacyjnej albo umowy deweloperskiej </w:t>
            </w:r>
            <w:bookmarkStart w:id="11" w:name="_Hlk67741074"/>
            <w:r w:rsidRPr="005A58C0">
              <w:rPr>
                <w:rFonts w:ascii="Times New Roman" w:eastAsia="Times New Roman" w:hAnsi="Times New Roman" w:cs="Times New Roman"/>
                <w:sz w:val="20"/>
                <w:szCs w:val="20"/>
                <w:lang w:eastAsia="pl-PL"/>
              </w:rPr>
              <w:t xml:space="preserve">lub jednej z umów, o których mowa w art. 2 ust. 1 pkt 2, 3 lub 5 lub ust. 2 </w:t>
            </w:r>
            <w:bookmarkEnd w:id="11"/>
            <w:r w:rsidRPr="005A58C0">
              <w:rPr>
                <w:rFonts w:ascii="Times New Roman" w:eastAsia="Times New Roman" w:hAnsi="Times New Roman" w:cs="Times New Roman"/>
                <w:sz w:val="20"/>
                <w:szCs w:val="20"/>
                <w:lang w:eastAsia="pl-PL"/>
              </w:rPr>
              <w:t>ustawy z dnia 20 maja 2021 r. o ochronie praw nabywcy lokalu mieszkalnego lub domu jednorodzinnego oraz Deweloperskim Funduszu Gwarancyjnym</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14:paraId="34EE796A" w14:textId="77777777" w:rsidR="001B2EF6" w:rsidRPr="005A58C0" w:rsidRDefault="001B2EF6" w:rsidP="001B2EF6">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Liczba kondygnacji</w:t>
            </w:r>
          </w:p>
        </w:tc>
        <w:tc>
          <w:tcPr>
            <w:tcW w:w="4100" w:type="dxa"/>
            <w:tcBorders>
              <w:top w:val="nil"/>
              <w:left w:val="nil"/>
              <w:bottom w:val="single" w:sz="4" w:space="0" w:color="auto"/>
              <w:right w:val="single" w:sz="8" w:space="0" w:color="auto"/>
            </w:tcBorders>
            <w:tcMar>
              <w:top w:w="0" w:type="dxa"/>
              <w:left w:w="108" w:type="dxa"/>
              <w:bottom w:w="0" w:type="dxa"/>
              <w:right w:w="108" w:type="dxa"/>
            </w:tcMar>
            <w:hideMark/>
          </w:tcPr>
          <w:p w14:paraId="3BB4A31C" w14:textId="702DB0CA" w:rsidR="001B2EF6" w:rsidRPr="005A58C0" w:rsidRDefault="001B2EF6" w:rsidP="00940D9F">
            <w:pPr>
              <w:tabs>
                <w:tab w:val="center" w:pos="1344"/>
              </w:tabs>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r w:rsidR="00940D9F" w:rsidRPr="005A58C0">
              <w:rPr>
                <w:rFonts w:ascii="Times New Roman" w:eastAsia="Times New Roman" w:hAnsi="Times New Roman" w:cs="Times New Roman"/>
                <w:b/>
                <w:bCs/>
                <w:sz w:val="20"/>
                <w:szCs w:val="20"/>
                <w:lang w:eastAsia="pl-PL"/>
              </w:rPr>
              <w:tab/>
            </w:r>
            <w:r w:rsidR="00687980" w:rsidRPr="005A58C0">
              <w:rPr>
                <w:rFonts w:ascii="Times New Roman" w:eastAsia="Times New Roman" w:hAnsi="Times New Roman" w:cs="Times New Roman"/>
                <w:b/>
                <w:bCs/>
                <w:sz w:val="20"/>
                <w:szCs w:val="20"/>
                <w:lang w:eastAsia="pl-PL"/>
              </w:rPr>
              <w:t>4</w:t>
            </w:r>
          </w:p>
        </w:tc>
      </w:tr>
      <w:tr w:rsidR="005A58C0" w:rsidRPr="005A58C0" w14:paraId="3D79D82D" w14:textId="77777777" w:rsidTr="00996342">
        <w:tc>
          <w:tcPr>
            <w:tcW w:w="0" w:type="auto"/>
            <w:vMerge/>
            <w:tcBorders>
              <w:top w:val="nil"/>
              <w:left w:val="single" w:sz="8" w:space="0" w:color="auto"/>
              <w:bottom w:val="nil"/>
              <w:right w:val="single" w:sz="8" w:space="0" w:color="auto"/>
            </w:tcBorders>
            <w:vAlign w:val="center"/>
            <w:hideMark/>
          </w:tcPr>
          <w:p w14:paraId="53C6E987" w14:textId="77777777" w:rsidR="00940D9F" w:rsidRPr="005A58C0" w:rsidRDefault="00940D9F" w:rsidP="00940D9F">
            <w:pPr>
              <w:spacing w:after="0" w:line="240" w:lineRule="auto"/>
              <w:rPr>
                <w:rFonts w:ascii="Times New Roman" w:eastAsia="Times New Roman" w:hAnsi="Times New Roman" w:cs="Times New Roman"/>
                <w:sz w:val="20"/>
                <w:szCs w:val="20"/>
                <w:lang w:eastAsia="pl-PL"/>
              </w:rPr>
            </w:pPr>
          </w:p>
        </w:tc>
        <w:tc>
          <w:tcPr>
            <w:tcW w:w="1953" w:type="dxa"/>
            <w:tcBorders>
              <w:top w:val="nil"/>
              <w:left w:val="nil"/>
              <w:bottom w:val="single" w:sz="8" w:space="0" w:color="auto"/>
              <w:right w:val="single" w:sz="4" w:space="0" w:color="auto"/>
            </w:tcBorders>
            <w:tcMar>
              <w:top w:w="0" w:type="dxa"/>
              <w:left w:w="108" w:type="dxa"/>
              <w:bottom w:w="0" w:type="dxa"/>
              <w:right w:w="108" w:type="dxa"/>
            </w:tcMar>
            <w:hideMark/>
          </w:tcPr>
          <w:p w14:paraId="10F9B3D1"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Technologia wykonania </w:t>
            </w:r>
          </w:p>
        </w:tc>
        <w:tc>
          <w:tcPr>
            <w:tcW w:w="4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6E96E" w14:textId="77777777" w:rsidR="0013146D" w:rsidRPr="00B81049" w:rsidRDefault="0013146D" w:rsidP="0013146D">
            <w:pPr>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b/>
                <w:bCs/>
                <w:sz w:val="20"/>
                <w:szCs w:val="20"/>
                <w:lang w:eastAsia="pl-PL"/>
              </w:rPr>
              <w:t>FUNDAMENTY</w:t>
            </w:r>
          </w:p>
          <w:p w14:paraId="0A160EA9"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sz w:val="20"/>
                <w:szCs w:val="20"/>
                <w:lang w:eastAsia="pl-PL"/>
              </w:rPr>
              <w:t>płyta fundamentowa żelbetowa</w:t>
            </w:r>
            <w:r>
              <w:rPr>
                <w:rFonts w:ascii="Times New Roman" w:eastAsia="Times New Roman" w:hAnsi="Times New Roman" w:cs="Times New Roman"/>
                <w:sz w:val="20"/>
                <w:szCs w:val="20"/>
                <w:lang w:eastAsia="pl-PL"/>
              </w:rPr>
              <w:t xml:space="preserve"> zgodnie z projektem konstrukcji.</w:t>
            </w:r>
          </w:p>
          <w:p w14:paraId="0B3D19E0" w14:textId="77777777" w:rsidR="0013146D" w:rsidRPr="00B81049" w:rsidRDefault="0013146D" w:rsidP="0013146D">
            <w:pPr>
              <w:rPr>
                <w:rFonts w:ascii="Times New Roman" w:eastAsia="Times New Roman" w:hAnsi="Times New Roman" w:cs="Times New Roman"/>
                <w:b/>
                <w:bCs/>
                <w:sz w:val="20"/>
                <w:szCs w:val="20"/>
                <w:lang w:eastAsia="pl-PL"/>
              </w:rPr>
            </w:pPr>
          </w:p>
          <w:p w14:paraId="42166DDB" w14:textId="77777777" w:rsidR="0013146D" w:rsidRPr="00B81049" w:rsidRDefault="0013146D" w:rsidP="0013146D">
            <w:pPr>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b/>
                <w:bCs/>
                <w:sz w:val="20"/>
                <w:szCs w:val="20"/>
                <w:lang w:eastAsia="pl-PL"/>
              </w:rPr>
              <w:t>CZĘŚĆ MIESZKALNA</w:t>
            </w:r>
          </w:p>
          <w:p w14:paraId="71814F56"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ściany nośne zew. pustaki ceramiczne;</w:t>
            </w:r>
          </w:p>
          <w:p w14:paraId="08CD7BD9"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 xml:space="preserve">ściany nośne wew. </w:t>
            </w:r>
            <w:proofErr w:type="spellStart"/>
            <w:r w:rsidRPr="00B81049">
              <w:rPr>
                <w:rFonts w:ascii="Times New Roman" w:eastAsia="Times New Roman" w:hAnsi="Times New Roman" w:cs="Times New Roman"/>
                <w:sz w:val="20"/>
                <w:szCs w:val="20"/>
                <w:lang w:eastAsia="pl-PL"/>
              </w:rPr>
              <w:t>międzylokalowe</w:t>
            </w:r>
            <w:proofErr w:type="spellEnd"/>
            <w:r w:rsidRPr="00B81049">
              <w:rPr>
                <w:rFonts w:ascii="Times New Roman" w:eastAsia="Times New Roman" w:hAnsi="Times New Roman" w:cs="Times New Roman"/>
                <w:sz w:val="20"/>
                <w:szCs w:val="20"/>
                <w:lang w:eastAsia="pl-PL"/>
              </w:rPr>
              <w:t xml:space="preserve"> pustaki ceramiczne;</w:t>
            </w:r>
          </w:p>
          <w:p w14:paraId="4E14F2FF"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ściany między lokalowe – pustaki ceramiczne lub bloczki silikatowe;</w:t>
            </w:r>
          </w:p>
          <w:p w14:paraId="14BAFF33" w14:textId="77777777" w:rsidR="0013146D"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strop prefabrykowany żelbetowy;</w:t>
            </w:r>
          </w:p>
          <w:p w14:paraId="64DD03D8"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płyty balkonowe bez wykończenia</w:t>
            </w:r>
          </w:p>
          <w:p w14:paraId="0DE957C7"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ścianki działowe – bloczki gazobetonowe</w:t>
            </w:r>
            <w:r>
              <w:rPr>
                <w:rFonts w:ascii="Times New Roman" w:eastAsia="Times New Roman" w:hAnsi="Times New Roman" w:cs="Times New Roman"/>
                <w:sz w:val="20"/>
                <w:szCs w:val="20"/>
                <w:lang w:eastAsia="pl-PL"/>
              </w:rPr>
              <w:t xml:space="preserve"> lub wapienno-piaskowe typu SILKA</w:t>
            </w:r>
            <w:r w:rsidRPr="00B81049">
              <w:rPr>
                <w:rFonts w:ascii="Times New Roman" w:eastAsia="Times New Roman" w:hAnsi="Times New Roman" w:cs="Times New Roman"/>
                <w:sz w:val="20"/>
                <w:szCs w:val="20"/>
                <w:lang w:eastAsia="pl-PL"/>
              </w:rPr>
              <w:t>;</w:t>
            </w:r>
          </w:p>
          <w:p w14:paraId="4BD92CC2"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posadzka betonowa;</w:t>
            </w:r>
          </w:p>
          <w:p w14:paraId="6596E28B"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 xml:space="preserve">ściany tynki gipsowe, maszynowe; w łazience zatarte na ostro; </w:t>
            </w:r>
          </w:p>
          <w:p w14:paraId="687DE70E"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sufit tynki gipsowe;</w:t>
            </w:r>
            <w:r>
              <w:rPr>
                <w:rFonts w:ascii="Times New Roman" w:eastAsia="Times New Roman" w:hAnsi="Times New Roman" w:cs="Times New Roman"/>
                <w:sz w:val="20"/>
                <w:szCs w:val="20"/>
                <w:lang w:eastAsia="pl-PL"/>
              </w:rPr>
              <w:t xml:space="preserve"> sufity na ostatnich piętrach </w:t>
            </w:r>
            <w:r w:rsidRPr="00D332C3">
              <w:rPr>
                <w:rFonts w:ascii="Times New Roman" w:eastAsia="Times New Roman" w:hAnsi="Times New Roman" w:cs="Times New Roman"/>
                <w:sz w:val="20"/>
                <w:szCs w:val="20"/>
                <w:lang w:eastAsia="pl-PL"/>
              </w:rPr>
              <w:t>z płyt GK</w:t>
            </w:r>
            <w:r>
              <w:rPr>
                <w:rFonts w:ascii="Times New Roman" w:eastAsia="Times New Roman" w:hAnsi="Times New Roman" w:cs="Times New Roman"/>
                <w:sz w:val="20"/>
                <w:szCs w:val="20"/>
                <w:lang w:eastAsia="pl-PL"/>
              </w:rPr>
              <w:t xml:space="preserve"> bez szpachlowania</w:t>
            </w:r>
          </w:p>
          <w:p w14:paraId="4115E7E4"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instalacja centralnego ogrzewania;</w:t>
            </w:r>
          </w:p>
          <w:p w14:paraId="006DED93"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wentylacja mechaniczna;</w:t>
            </w:r>
          </w:p>
          <w:p w14:paraId="143FC86B"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doprowadzona będzie siła trójfazowa do płyty elektrycznej</w:t>
            </w:r>
            <w:r>
              <w:rPr>
                <w:rFonts w:ascii="Times New Roman" w:eastAsia="Times New Roman" w:hAnsi="Times New Roman" w:cs="Times New Roman"/>
                <w:sz w:val="20"/>
                <w:szCs w:val="20"/>
                <w:lang w:eastAsia="pl-PL"/>
              </w:rPr>
              <w:t>;</w:t>
            </w:r>
          </w:p>
          <w:p w14:paraId="6DF86432"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przyłącza wodno-kanalizacyjne rozprowadzone podtynkowo;</w:t>
            </w:r>
          </w:p>
          <w:p w14:paraId="6D28C7C3"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instalacja kanalizacyjna podłączona do sieci kanalizacyjnej;</w:t>
            </w:r>
          </w:p>
          <w:p w14:paraId="50847428"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lastRenderedPageBreak/>
              <w:t xml:space="preserve">każdy lokal wyposażony w rozdzielnię elektryczną i instalację elektryczną (bez białego osprzętu); </w:t>
            </w:r>
          </w:p>
          <w:p w14:paraId="0469072A"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instalacja wyrównawcza jako element instalacji elektrycznej;</w:t>
            </w:r>
          </w:p>
          <w:p w14:paraId="4C44878F"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projektowana instalacja domofonowa, RTV</w:t>
            </w:r>
            <w:r>
              <w:rPr>
                <w:rFonts w:ascii="Times New Roman" w:eastAsia="Times New Roman" w:hAnsi="Times New Roman" w:cs="Times New Roman"/>
                <w:sz w:val="20"/>
                <w:szCs w:val="20"/>
                <w:lang w:eastAsia="pl-PL"/>
              </w:rPr>
              <w:t>;</w:t>
            </w:r>
            <w:r w:rsidRPr="00B81049">
              <w:rPr>
                <w:rFonts w:ascii="Times New Roman" w:eastAsia="Times New Roman" w:hAnsi="Times New Roman" w:cs="Times New Roman"/>
                <w:sz w:val="20"/>
                <w:szCs w:val="20"/>
                <w:lang w:eastAsia="pl-PL"/>
              </w:rPr>
              <w:t>;</w:t>
            </w:r>
          </w:p>
          <w:p w14:paraId="7C1166B7"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ogrzewanie – ciepło z cieplika przyłączonego do miejskiej sieci ciepłowniczej.</w:t>
            </w:r>
          </w:p>
          <w:p w14:paraId="429E7EA7" w14:textId="77777777" w:rsidR="0013146D" w:rsidRPr="00B81049" w:rsidRDefault="0013146D" w:rsidP="0013146D">
            <w:pPr>
              <w:rPr>
                <w:rFonts w:ascii="Times New Roman" w:eastAsia="Times New Roman" w:hAnsi="Times New Roman" w:cs="Times New Roman"/>
                <w:b/>
                <w:bCs/>
                <w:sz w:val="20"/>
                <w:szCs w:val="20"/>
                <w:lang w:eastAsia="pl-PL"/>
              </w:rPr>
            </w:pPr>
          </w:p>
          <w:p w14:paraId="556DB664" w14:textId="77777777" w:rsidR="0013146D" w:rsidRPr="00B81049" w:rsidRDefault="0013146D" w:rsidP="0013146D">
            <w:pPr>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b/>
                <w:bCs/>
                <w:sz w:val="20"/>
                <w:szCs w:val="20"/>
                <w:lang w:eastAsia="pl-PL"/>
              </w:rPr>
              <w:t>STOLARKA</w:t>
            </w:r>
          </w:p>
          <w:p w14:paraId="6CFAFF7B"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okna PCW (przeszklenie szyby potrójnie zespolone);</w:t>
            </w:r>
          </w:p>
          <w:p w14:paraId="7427F3C3"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drzwi zewnętrzne na profilach aluminiowych</w:t>
            </w:r>
            <w:r>
              <w:rPr>
                <w:rFonts w:ascii="Times New Roman" w:eastAsia="Times New Roman" w:hAnsi="Times New Roman" w:cs="Times New Roman"/>
                <w:sz w:val="20"/>
                <w:szCs w:val="20"/>
                <w:lang w:eastAsia="pl-PL"/>
              </w:rPr>
              <w:t>, PCV</w:t>
            </w:r>
            <w:r w:rsidRPr="00B81049">
              <w:rPr>
                <w:rFonts w:ascii="Times New Roman" w:eastAsia="Times New Roman" w:hAnsi="Times New Roman" w:cs="Times New Roman"/>
                <w:sz w:val="20"/>
                <w:szCs w:val="20"/>
                <w:lang w:eastAsia="pl-PL"/>
              </w:rPr>
              <w:t xml:space="preserve"> lub stalowych;</w:t>
            </w:r>
          </w:p>
          <w:p w14:paraId="3BBF7734"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drzwi wejściowe do mieszkań stalowe;</w:t>
            </w:r>
          </w:p>
          <w:p w14:paraId="3B4CC701"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parapety zewnętrzne z blachy stalowej powlekanej;</w:t>
            </w:r>
          </w:p>
          <w:p w14:paraId="0B7B4549"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nad oknami puszki do ewentualnego montażu rolet okiennych.</w:t>
            </w:r>
          </w:p>
          <w:p w14:paraId="131DC5C8" w14:textId="77777777" w:rsidR="0013146D" w:rsidRPr="00B81049" w:rsidRDefault="0013146D" w:rsidP="0013146D">
            <w:pPr>
              <w:rPr>
                <w:rFonts w:ascii="Times New Roman" w:eastAsia="Times New Roman" w:hAnsi="Times New Roman" w:cs="Times New Roman"/>
                <w:b/>
                <w:bCs/>
                <w:sz w:val="20"/>
                <w:szCs w:val="20"/>
                <w:lang w:eastAsia="pl-PL"/>
              </w:rPr>
            </w:pPr>
          </w:p>
          <w:p w14:paraId="78394F56" w14:textId="77777777" w:rsidR="0013146D" w:rsidRPr="00B81049" w:rsidRDefault="0013146D" w:rsidP="0013146D">
            <w:pPr>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b/>
                <w:bCs/>
                <w:sz w:val="20"/>
                <w:szCs w:val="20"/>
                <w:lang w:eastAsia="pl-PL"/>
              </w:rPr>
              <w:t>ELEWACJA</w:t>
            </w:r>
          </w:p>
          <w:p w14:paraId="49A59399"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izolacja termiczna ścian zewnętrznych – styropian, częściowo wełna mineralna (wg wymagań przeciwpożarowych);</w:t>
            </w:r>
          </w:p>
          <w:p w14:paraId="701C2A13"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tynk silikonowy;</w:t>
            </w:r>
          </w:p>
          <w:p w14:paraId="0386FE69"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balustrady szklane.</w:t>
            </w:r>
          </w:p>
          <w:p w14:paraId="6CDABE03" w14:textId="77777777" w:rsidR="0013146D" w:rsidRPr="00B81049" w:rsidRDefault="0013146D" w:rsidP="0013146D">
            <w:pPr>
              <w:rPr>
                <w:rFonts w:ascii="Times New Roman" w:eastAsia="Times New Roman" w:hAnsi="Times New Roman" w:cs="Times New Roman"/>
                <w:b/>
                <w:bCs/>
                <w:sz w:val="20"/>
                <w:szCs w:val="20"/>
                <w:lang w:eastAsia="pl-PL"/>
              </w:rPr>
            </w:pPr>
          </w:p>
          <w:p w14:paraId="1EB857F4" w14:textId="77777777" w:rsidR="0013146D" w:rsidRPr="00B81049" w:rsidRDefault="0013146D" w:rsidP="0013146D">
            <w:pPr>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b/>
                <w:bCs/>
                <w:sz w:val="20"/>
                <w:szCs w:val="20"/>
                <w:lang w:eastAsia="pl-PL"/>
              </w:rPr>
              <w:t>DACH</w:t>
            </w:r>
          </w:p>
          <w:p w14:paraId="2112DD9F"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konstrukcja dachu – prefabrykowana konstrukcja drewniana;</w:t>
            </w:r>
          </w:p>
          <w:p w14:paraId="6BCCD628"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pokrycie dachowe wykonane z blachy płaskiej na rąbek stojący lub dachówka;</w:t>
            </w:r>
          </w:p>
          <w:p w14:paraId="2C409B9E" w14:textId="77777777" w:rsidR="0013146D" w:rsidRPr="00D332C3"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D332C3">
              <w:rPr>
                <w:rFonts w:ascii="Times New Roman" w:eastAsia="Times New Roman" w:hAnsi="Times New Roman" w:cs="Times New Roman"/>
                <w:sz w:val="20"/>
                <w:szCs w:val="20"/>
                <w:lang w:eastAsia="pl-PL"/>
              </w:rPr>
              <w:t>izolacja stropu lekkiego z płyt GK – wełna mineralna + folia paroizolacyjna</w:t>
            </w:r>
          </w:p>
          <w:p w14:paraId="459EC335" w14:textId="77777777" w:rsidR="0013146D" w:rsidRPr="00D332C3"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D332C3">
              <w:rPr>
                <w:rFonts w:ascii="Times New Roman" w:eastAsia="Times New Roman" w:hAnsi="Times New Roman" w:cs="Times New Roman"/>
                <w:sz w:val="20"/>
                <w:szCs w:val="20"/>
                <w:lang w:eastAsia="pl-PL"/>
              </w:rPr>
              <w:t xml:space="preserve">rynny i rury spustowe stalowe powlekane, PCV lub </w:t>
            </w:r>
            <w:proofErr w:type="spellStart"/>
            <w:r w:rsidRPr="00D332C3">
              <w:rPr>
                <w:rFonts w:ascii="Times New Roman" w:eastAsia="Times New Roman" w:hAnsi="Times New Roman" w:cs="Times New Roman"/>
                <w:sz w:val="20"/>
                <w:szCs w:val="20"/>
                <w:lang w:eastAsia="pl-PL"/>
              </w:rPr>
              <w:t>tytanowo-cynkowe</w:t>
            </w:r>
            <w:proofErr w:type="spellEnd"/>
            <w:r w:rsidRPr="00D332C3">
              <w:rPr>
                <w:rFonts w:ascii="Times New Roman" w:eastAsia="Times New Roman" w:hAnsi="Times New Roman" w:cs="Times New Roman"/>
                <w:sz w:val="20"/>
                <w:szCs w:val="20"/>
                <w:lang w:eastAsia="pl-PL"/>
              </w:rPr>
              <w:t>.</w:t>
            </w:r>
          </w:p>
          <w:p w14:paraId="76B394AE" w14:textId="77777777" w:rsidR="0013146D" w:rsidRPr="00B81049" w:rsidRDefault="0013146D" w:rsidP="0013146D">
            <w:pPr>
              <w:rPr>
                <w:rFonts w:ascii="Times New Roman" w:eastAsia="Times New Roman" w:hAnsi="Times New Roman" w:cs="Times New Roman"/>
                <w:b/>
                <w:bCs/>
                <w:sz w:val="20"/>
                <w:szCs w:val="20"/>
                <w:lang w:eastAsia="pl-PL"/>
              </w:rPr>
            </w:pPr>
          </w:p>
          <w:p w14:paraId="625BBB8A" w14:textId="77777777" w:rsidR="0013146D" w:rsidRPr="00B81049" w:rsidRDefault="0013146D" w:rsidP="0013146D">
            <w:pPr>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b/>
                <w:bCs/>
                <w:sz w:val="20"/>
                <w:szCs w:val="20"/>
                <w:lang w:eastAsia="pl-PL"/>
              </w:rPr>
              <w:t>WYKOŃCZENIE ZEWNĘTRZNE</w:t>
            </w:r>
          </w:p>
          <w:p w14:paraId="74367F5C"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 xml:space="preserve">ogrodzenie stalowe panelowe ażurowe; dotyczy wyłącznie ogródków </w:t>
            </w:r>
            <w:proofErr w:type="spellStart"/>
            <w:r w:rsidRPr="00B81049">
              <w:rPr>
                <w:rFonts w:ascii="Times New Roman" w:eastAsia="Times New Roman" w:hAnsi="Times New Roman" w:cs="Times New Roman"/>
                <w:sz w:val="20"/>
                <w:szCs w:val="20"/>
                <w:lang w:eastAsia="pl-PL"/>
              </w:rPr>
              <w:t>przylokalowych</w:t>
            </w:r>
            <w:proofErr w:type="spellEnd"/>
            <w:r w:rsidRPr="00B81049">
              <w:rPr>
                <w:rFonts w:ascii="Times New Roman" w:eastAsia="Times New Roman" w:hAnsi="Times New Roman" w:cs="Times New Roman"/>
                <w:sz w:val="20"/>
                <w:szCs w:val="20"/>
                <w:lang w:eastAsia="pl-PL"/>
              </w:rPr>
              <w:t xml:space="preserve">; </w:t>
            </w:r>
          </w:p>
          <w:p w14:paraId="69C0F1A4"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naziemne miejsce parkingowe wykonane z kostki brukowej;</w:t>
            </w:r>
          </w:p>
          <w:p w14:paraId="2A031F49"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lastRenderedPageBreak/>
              <w:t>podest wraz z chodnikiem wykonany z kostki betonowej;</w:t>
            </w:r>
          </w:p>
          <w:p w14:paraId="54D3ECEA"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taras – wyjście z mieszkań na parterze bezpośrednio na teren zielony;</w:t>
            </w:r>
          </w:p>
          <w:p w14:paraId="6134AC17"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projektowane oświetlenie zewnętrzne dojścia do budynku;</w:t>
            </w:r>
          </w:p>
          <w:p w14:paraId="3CBADB74"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sz w:val="20"/>
                <w:szCs w:val="20"/>
                <w:lang w:eastAsia="pl-PL"/>
              </w:rPr>
            </w:pPr>
            <w:r w:rsidRPr="00B81049">
              <w:rPr>
                <w:rFonts w:ascii="Times New Roman" w:eastAsia="Times New Roman" w:hAnsi="Times New Roman" w:cs="Times New Roman"/>
                <w:sz w:val="20"/>
                <w:szCs w:val="20"/>
                <w:lang w:eastAsia="pl-PL"/>
              </w:rPr>
              <w:t>gniazdo elektryczne na ogrodzie – dla mieszkań parterowych;</w:t>
            </w:r>
          </w:p>
          <w:p w14:paraId="6781B699" w14:textId="77777777" w:rsidR="0013146D" w:rsidRPr="00B81049" w:rsidRDefault="0013146D" w:rsidP="0013146D">
            <w:pPr>
              <w:numPr>
                <w:ilvl w:val="0"/>
                <w:numId w:val="4"/>
              </w:numPr>
              <w:pBdr>
                <w:bottom w:val="single" w:sz="6" w:space="4" w:color="DADADA"/>
              </w:pBdr>
              <w:spacing w:after="0" w:line="240" w:lineRule="auto"/>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sz w:val="20"/>
                <w:szCs w:val="20"/>
                <w:lang w:eastAsia="pl-PL"/>
              </w:rPr>
              <w:t>podejście wody ogrodowej na elewacji – dla mieszkań parterowych.</w:t>
            </w:r>
          </w:p>
          <w:p w14:paraId="7646F407" w14:textId="77777777" w:rsidR="0013146D" w:rsidRPr="00B81049" w:rsidRDefault="0013146D" w:rsidP="0013146D">
            <w:pPr>
              <w:rPr>
                <w:rFonts w:ascii="Times New Roman" w:eastAsia="Times New Roman" w:hAnsi="Times New Roman" w:cs="Times New Roman"/>
                <w:b/>
                <w:bCs/>
                <w:sz w:val="20"/>
                <w:szCs w:val="20"/>
                <w:lang w:eastAsia="pl-PL"/>
              </w:rPr>
            </w:pPr>
          </w:p>
          <w:p w14:paraId="1B0CB8B1" w14:textId="77777777" w:rsidR="0013146D" w:rsidRPr="00B81049" w:rsidRDefault="0013146D" w:rsidP="0013146D">
            <w:pPr>
              <w:spacing w:after="0"/>
              <w:rPr>
                <w:rFonts w:ascii="Times New Roman" w:eastAsia="Times New Roman" w:hAnsi="Times New Roman" w:cs="Times New Roman"/>
                <w:b/>
                <w:bCs/>
                <w:sz w:val="20"/>
                <w:szCs w:val="20"/>
                <w:lang w:eastAsia="pl-PL"/>
              </w:rPr>
            </w:pPr>
            <w:r w:rsidRPr="00B81049">
              <w:rPr>
                <w:rFonts w:ascii="Times New Roman" w:eastAsia="Times New Roman" w:hAnsi="Times New Roman" w:cs="Times New Roman"/>
                <w:b/>
                <w:bCs/>
                <w:sz w:val="20"/>
                <w:szCs w:val="20"/>
                <w:lang w:eastAsia="pl-PL"/>
              </w:rPr>
              <w:t>CZĘŚCI WSPÓLNE</w:t>
            </w:r>
          </w:p>
          <w:p w14:paraId="5216136D" w14:textId="77777777" w:rsidR="0013146D" w:rsidRPr="00B81049" w:rsidRDefault="0013146D" w:rsidP="0013146D">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PODZIEMNA HALA GARAŻOWA</w:t>
            </w:r>
            <w:r w:rsidRPr="00B81049">
              <w:rPr>
                <w:rFonts w:ascii="Times New Roman" w:eastAsia="Times New Roman" w:hAnsi="Times New Roman" w:cs="Times New Roman"/>
                <w:b/>
                <w:bCs/>
                <w:sz w:val="20"/>
                <w:szCs w:val="20"/>
                <w:lang w:eastAsia="pl-PL"/>
              </w:rPr>
              <w:t>:</w:t>
            </w:r>
          </w:p>
          <w:p w14:paraId="33F40E1F" w14:textId="77777777" w:rsidR="0013146D" w:rsidRPr="00B81049" w:rsidRDefault="0013146D" w:rsidP="0013146D">
            <w:pPr>
              <w:pStyle w:val="Akapitzlist"/>
              <w:numPr>
                <w:ilvl w:val="0"/>
                <w:numId w:val="28"/>
              </w:numPr>
              <w:suppressAutoHyphens w:val="0"/>
              <w:spacing w:before="120"/>
              <w:contextualSpacing/>
              <w:rPr>
                <w:lang w:eastAsia="pl-PL"/>
              </w:rPr>
            </w:pPr>
            <w:r>
              <w:rPr>
                <w:lang w:eastAsia="pl-PL"/>
              </w:rPr>
              <w:t>ś</w:t>
            </w:r>
            <w:r w:rsidRPr="00B81049">
              <w:rPr>
                <w:lang w:eastAsia="pl-PL"/>
              </w:rPr>
              <w:t>ciany zewnętrzne konstrukcyjne i słupy - żelbetowe według projektu konstrukcji</w:t>
            </w:r>
            <w:r>
              <w:rPr>
                <w:lang w:eastAsia="pl-PL"/>
              </w:rPr>
              <w:t>;</w:t>
            </w:r>
          </w:p>
          <w:p w14:paraId="34CE86B7" w14:textId="77777777" w:rsidR="0013146D" w:rsidRPr="00B81049" w:rsidRDefault="0013146D" w:rsidP="0013146D">
            <w:pPr>
              <w:pStyle w:val="Akapitzlist"/>
              <w:numPr>
                <w:ilvl w:val="0"/>
                <w:numId w:val="28"/>
              </w:numPr>
              <w:suppressAutoHyphens w:val="0"/>
              <w:spacing w:before="100" w:beforeAutospacing="1" w:after="100" w:afterAutospacing="1"/>
              <w:contextualSpacing/>
              <w:rPr>
                <w:lang w:eastAsia="pl-PL"/>
              </w:rPr>
            </w:pPr>
            <w:r>
              <w:rPr>
                <w:lang w:eastAsia="pl-PL"/>
              </w:rPr>
              <w:t>ś</w:t>
            </w:r>
            <w:r w:rsidRPr="00B81049">
              <w:rPr>
                <w:lang w:eastAsia="pl-PL"/>
              </w:rPr>
              <w:t>ciany wewnętrzne - żelbetowe lub murowane według projektu konstrukcji</w:t>
            </w:r>
            <w:r>
              <w:rPr>
                <w:lang w:eastAsia="pl-PL"/>
              </w:rPr>
              <w:t>;</w:t>
            </w:r>
          </w:p>
          <w:p w14:paraId="7212F0F2" w14:textId="77777777" w:rsidR="0013146D" w:rsidRPr="00B81049" w:rsidRDefault="0013146D" w:rsidP="0013146D">
            <w:pPr>
              <w:pStyle w:val="Akapitzlist"/>
              <w:numPr>
                <w:ilvl w:val="0"/>
                <w:numId w:val="28"/>
              </w:numPr>
              <w:suppressAutoHyphens w:val="0"/>
              <w:spacing w:before="100" w:beforeAutospacing="1" w:after="100" w:afterAutospacing="1"/>
              <w:contextualSpacing/>
              <w:rPr>
                <w:lang w:eastAsia="pl-PL"/>
              </w:rPr>
            </w:pPr>
            <w:r>
              <w:rPr>
                <w:lang w:eastAsia="pl-PL"/>
              </w:rPr>
              <w:t>b</w:t>
            </w:r>
            <w:r w:rsidRPr="00B81049">
              <w:rPr>
                <w:lang w:eastAsia="pl-PL"/>
              </w:rPr>
              <w:t>rama garażowa otwierana pilotem</w:t>
            </w:r>
            <w:r>
              <w:rPr>
                <w:lang w:eastAsia="pl-PL"/>
              </w:rPr>
              <w:t>;</w:t>
            </w:r>
          </w:p>
          <w:p w14:paraId="5BB26547" w14:textId="77777777" w:rsidR="0013146D" w:rsidRPr="00B81049" w:rsidRDefault="0013146D" w:rsidP="0013146D">
            <w:pPr>
              <w:pStyle w:val="Akapitzlist"/>
              <w:numPr>
                <w:ilvl w:val="0"/>
                <w:numId w:val="28"/>
              </w:numPr>
              <w:suppressAutoHyphens w:val="0"/>
              <w:spacing w:before="100" w:beforeAutospacing="1" w:after="100" w:afterAutospacing="1"/>
              <w:contextualSpacing/>
              <w:rPr>
                <w:lang w:eastAsia="pl-PL"/>
              </w:rPr>
            </w:pPr>
            <w:r>
              <w:rPr>
                <w:lang w:eastAsia="pl-PL"/>
              </w:rPr>
              <w:t>o</w:t>
            </w:r>
            <w:r w:rsidRPr="00B81049">
              <w:rPr>
                <w:lang w:eastAsia="pl-PL"/>
              </w:rPr>
              <w:t>znakowanie miejsc postojowych wraz z elementami organizacji ruchu;</w:t>
            </w:r>
          </w:p>
          <w:p w14:paraId="65E44E40" w14:textId="77777777" w:rsidR="0013146D" w:rsidRPr="00B81049" w:rsidRDefault="0013146D" w:rsidP="0013146D">
            <w:pPr>
              <w:pStyle w:val="Akapitzlist"/>
              <w:numPr>
                <w:ilvl w:val="0"/>
                <w:numId w:val="28"/>
              </w:numPr>
              <w:suppressAutoHyphens w:val="0"/>
              <w:spacing w:before="100" w:beforeAutospacing="1" w:after="100" w:afterAutospacing="1"/>
              <w:contextualSpacing/>
              <w:rPr>
                <w:lang w:eastAsia="pl-PL"/>
              </w:rPr>
            </w:pPr>
            <w:proofErr w:type="spellStart"/>
            <w:r>
              <w:rPr>
                <w:lang w:eastAsia="pl-PL"/>
              </w:rPr>
              <w:t>r</w:t>
            </w:r>
            <w:r w:rsidRPr="00B81049">
              <w:rPr>
                <w:lang w:eastAsia="pl-PL"/>
              </w:rPr>
              <w:t>owerownia</w:t>
            </w:r>
            <w:proofErr w:type="spellEnd"/>
            <w:r w:rsidRPr="00B81049">
              <w:rPr>
                <w:lang w:eastAsia="pl-PL"/>
              </w:rPr>
              <w:t xml:space="preserve"> – pomieszczenie odgrodzone stalowymi ściankami ażurowymi</w:t>
            </w:r>
            <w:r>
              <w:rPr>
                <w:lang w:eastAsia="pl-PL"/>
              </w:rPr>
              <w:t>.</w:t>
            </w:r>
          </w:p>
          <w:p w14:paraId="029AD7F4" w14:textId="77777777" w:rsidR="0013146D" w:rsidRPr="00B81049" w:rsidRDefault="0013146D" w:rsidP="0013146D">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WINDA</w:t>
            </w:r>
            <w:r w:rsidRPr="00B81049">
              <w:rPr>
                <w:rFonts w:ascii="Times New Roman" w:eastAsia="Times New Roman" w:hAnsi="Times New Roman" w:cs="Times New Roman"/>
                <w:b/>
                <w:bCs/>
                <w:sz w:val="20"/>
                <w:szCs w:val="20"/>
                <w:lang w:eastAsia="pl-PL"/>
              </w:rPr>
              <w:t>:</w:t>
            </w:r>
          </w:p>
          <w:p w14:paraId="095B51EF" w14:textId="77777777" w:rsidR="0013146D" w:rsidRDefault="0013146D" w:rsidP="0013146D">
            <w:pPr>
              <w:pStyle w:val="Akapitzlist"/>
              <w:numPr>
                <w:ilvl w:val="0"/>
                <w:numId w:val="29"/>
              </w:numPr>
              <w:suppressAutoHyphens w:val="0"/>
              <w:contextualSpacing/>
              <w:rPr>
                <w:lang w:eastAsia="pl-PL"/>
              </w:rPr>
            </w:pPr>
            <w:r w:rsidRPr="00B81049">
              <w:rPr>
                <w:lang w:eastAsia="pl-PL"/>
              </w:rPr>
              <w:t>osobowa</w:t>
            </w:r>
            <w:r>
              <w:rPr>
                <w:lang w:eastAsia="pl-PL"/>
              </w:rPr>
              <w:t xml:space="preserve"> </w:t>
            </w:r>
            <w:r w:rsidRPr="00B81049">
              <w:rPr>
                <w:lang w:eastAsia="pl-PL"/>
              </w:rPr>
              <w:t>z drzwiami automatycznymi przesuwnymi</w:t>
            </w:r>
            <w:r>
              <w:rPr>
                <w:lang w:eastAsia="pl-PL"/>
              </w:rPr>
              <w:t>.</w:t>
            </w:r>
          </w:p>
          <w:p w14:paraId="0F62EA56" w14:textId="77777777" w:rsidR="0013146D" w:rsidRPr="00B81049" w:rsidRDefault="0013146D" w:rsidP="0013146D">
            <w:pPr>
              <w:pStyle w:val="Akapitzlist"/>
              <w:rPr>
                <w:lang w:eastAsia="pl-PL"/>
              </w:rPr>
            </w:pPr>
          </w:p>
          <w:p w14:paraId="60C4ABAA" w14:textId="77777777" w:rsidR="0013146D" w:rsidRPr="00B81049" w:rsidRDefault="0013146D" w:rsidP="0013146D">
            <w:pPr>
              <w:spacing w:after="0"/>
              <w:rPr>
                <w:rFonts w:ascii="Times New Roman" w:hAnsi="Times New Roman" w:cs="Times New Roman"/>
                <w:b/>
                <w:bCs/>
                <w:sz w:val="20"/>
                <w:szCs w:val="20"/>
              </w:rPr>
            </w:pPr>
            <w:r>
              <w:rPr>
                <w:rFonts w:ascii="Times New Roman" w:hAnsi="Times New Roman" w:cs="Times New Roman"/>
                <w:b/>
                <w:bCs/>
                <w:sz w:val="20"/>
                <w:szCs w:val="20"/>
              </w:rPr>
              <w:t>KLATKA SCHODOWA:</w:t>
            </w:r>
            <w:r w:rsidRPr="00B81049">
              <w:rPr>
                <w:rFonts w:ascii="Times New Roman" w:hAnsi="Times New Roman" w:cs="Times New Roman"/>
                <w:b/>
                <w:bCs/>
                <w:sz w:val="20"/>
                <w:szCs w:val="20"/>
              </w:rPr>
              <w:t xml:space="preserve"> </w:t>
            </w:r>
          </w:p>
          <w:p w14:paraId="73FA7FD2" w14:textId="77777777" w:rsidR="0013146D" w:rsidRPr="00B81049" w:rsidRDefault="0013146D" w:rsidP="0013146D">
            <w:pPr>
              <w:pStyle w:val="Akapitzlist"/>
              <w:numPr>
                <w:ilvl w:val="0"/>
                <w:numId w:val="29"/>
              </w:numPr>
              <w:suppressAutoHyphens w:val="0"/>
              <w:spacing w:after="160" w:line="259" w:lineRule="auto"/>
              <w:contextualSpacing/>
            </w:pPr>
            <w:r>
              <w:t>p</w:t>
            </w:r>
            <w:r w:rsidRPr="00B81049">
              <w:t xml:space="preserve">rojekt zakłada płytki </w:t>
            </w:r>
            <w:proofErr w:type="spellStart"/>
            <w:r w:rsidRPr="00B81049">
              <w:t>gresowe</w:t>
            </w:r>
            <w:proofErr w:type="spellEnd"/>
            <w:r w:rsidRPr="00B81049">
              <w:t xml:space="preserve"> na posadzkach, szpachlowane i malowane ściany i sufity, balustrady</w:t>
            </w:r>
            <w:r>
              <w:t>.</w:t>
            </w:r>
          </w:p>
          <w:p w14:paraId="56740F3F" w14:textId="05FC1284" w:rsidR="00940D9F" w:rsidRPr="005A58C0" w:rsidRDefault="00940D9F" w:rsidP="004669AD">
            <w:pPr>
              <w:pBdr>
                <w:bottom w:val="single" w:sz="6" w:space="4" w:color="DADADA"/>
              </w:pBdr>
              <w:spacing w:after="0" w:line="240" w:lineRule="auto"/>
              <w:ind w:left="720"/>
              <w:jc w:val="both"/>
              <w:rPr>
                <w:rFonts w:ascii="Times New Roman" w:eastAsia="Times New Roman" w:hAnsi="Times New Roman" w:cs="Times New Roman"/>
                <w:sz w:val="20"/>
                <w:szCs w:val="20"/>
                <w:lang w:eastAsia="pl-PL"/>
              </w:rPr>
            </w:pPr>
          </w:p>
        </w:tc>
      </w:tr>
      <w:tr w:rsidR="005A58C0" w:rsidRPr="005A58C0" w14:paraId="741702CD" w14:textId="77777777" w:rsidTr="00996342">
        <w:tc>
          <w:tcPr>
            <w:tcW w:w="0" w:type="auto"/>
            <w:vMerge/>
            <w:tcBorders>
              <w:top w:val="nil"/>
              <w:left w:val="single" w:sz="8" w:space="0" w:color="auto"/>
              <w:bottom w:val="single" w:sz="4" w:space="0" w:color="auto"/>
              <w:right w:val="single" w:sz="8" w:space="0" w:color="auto"/>
            </w:tcBorders>
            <w:vAlign w:val="center"/>
            <w:hideMark/>
          </w:tcPr>
          <w:p w14:paraId="06670C98" w14:textId="77777777" w:rsidR="00940D9F" w:rsidRPr="005A58C0" w:rsidRDefault="00940D9F" w:rsidP="00940D9F">
            <w:pPr>
              <w:spacing w:after="0" w:line="240" w:lineRule="auto"/>
              <w:rPr>
                <w:rFonts w:ascii="Times New Roman" w:eastAsia="Times New Roman" w:hAnsi="Times New Roman" w:cs="Times New Roman"/>
                <w:sz w:val="20"/>
                <w:szCs w:val="20"/>
                <w:lang w:eastAsia="pl-PL"/>
              </w:rPr>
            </w:pPr>
          </w:p>
        </w:tc>
        <w:tc>
          <w:tcPr>
            <w:tcW w:w="1953" w:type="dxa"/>
            <w:tcBorders>
              <w:top w:val="nil"/>
              <w:left w:val="nil"/>
              <w:bottom w:val="single" w:sz="4" w:space="0" w:color="auto"/>
              <w:right w:val="single" w:sz="8" w:space="0" w:color="auto"/>
            </w:tcBorders>
            <w:tcMar>
              <w:top w:w="0" w:type="dxa"/>
              <w:left w:w="108" w:type="dxa"/>
              <w:bottom w:w="0" w:type="dxa"/>
              <w:right w:w="108" w:type="dxa"/>
            </w:tcMar>
            <w:hideMark/>
          </w:tcPr>
          <w:p w14:paraId="3A5AD951"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Standard prac wykończeniowych w części wspólnej budynku i terenie wokół niego, stanowiącym część wspólną nieruchomości</w:t>
            </w:r>
          </w:p>
        </w:tc>
        <w:tc>
          <w:tcPr>
            <w:tcW w:w="41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A4FD7CF" w14:textId="63CE0925" w:rsidR="00940D9F" w:rsidRPr="005A58C0" w:rsidRDefault="00944A75" w:rsidP="004669AD">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M</w:t>
            </w:r>
            <w:r w:rsidR="00940D9F" w:rsidRPr="005A58C0">
              <w:rPr>
                <w:rFonts w:ascii="Times New Roman" w:eastAsia="Times New Roman" w:hAnsi="Times New Roman" w:cs="Times New Roman"/>
                <w:sz w:val="20"/>
                <w:szCs w:val="20"/>
                <w:lang w:eastAsia="pl-PL"/>
              </w:rPr>
              <w:t xml:space="preserve">iejsce postojowe </w:t>
            </w:r>
            <w:r w:rsidR="00F100D6" w:rsidRPr="005A58C0">
              <w:rPr>
                <w:rFonts w:ascii="Times New Roman" w:eastAsia="Times New Roman" w:hAnsi="Times New Roman" w:cs="Times New Roman"/>
                <w:sz w:val="20"/>
                <w:szCs w:val="20"/>
                <w:lang w:eastAsia="pl-PL"/>
              </w:rPr>
              <w:t xml:space="preserve">w garażu oraz jedno na zewnątrz budynku  </w:t>
            </w:r>
            <w:r w:rsidRPr="005A58C0">
              <w:rPr>
                <w:rFonts w:ascii="Times New Roman" w:eastAsia="Times New Roman" w:hAnsi="Times New Roman" w:cs="Times New Roman"/>
                <w:sz w:val="20"/>
                <w:szCs w:val="20"/>
                <w:lang w:eastAsia="pl-PL"/>
              </w:rPr>
              <w:t>– w garażu podziemnym posadzka betonowa, na zewnątrz kostka, pozostały teren to zieleń</w:t>
            </w:r>
          </w:p>
        </w:tc>
      </w:tr>
      <w:tr w:rsidR="005A58C0" w:rsidRPr="005A58C0" w14:paraId="51B94EED" w14:textId="77777777" w:rsidTr="006B5CB4">
        <w:tc>
          <w:tcPr>
            <w:tcW w:w="29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1D3742D"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p>
        </w:tc>
        <w:tc>
          <w:tcPr>
            <w:tcW w:w="1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CA603"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Liczba lokali w budynku</w:t>
            </w:r>
          </w:p>
        </w:tc>
        <w:tc>
          <w:tcPr>
            <w:tcW w:w="4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1022B" w14:textId="77777777" w:rsidR="00EF3C60" w:rsidRPr="005A58C0" w:rsidRDefault="00EF3C60" w:rsidP="004669AD">
            <w:pPr>
              <w:tabs>
                <w:tab w:val="center" w:pos="1421"/>
              </w:tabs>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35 lokali mieszkalnych, w tym:</w:t>
            </w:r>
          </w:p>
          <w:p w14:paraId="1E197564" w14:textId="191C9FC1" w:rsidR="00940D9F" w:rsidRPr="005A58C0" w:rsidRDefault="00EF3C60" w:rsidP="00BD438D">
            <w:pPr>
              <w:tabs>
                <w:tab w:val="center" w:pos="1421"/>
              </w:tabs>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18"/>
                <w:szCs w:val="18"/>
                <w:lang w:eastAsia="pl-PL"/>
              </w:rPr>
              <w:t>-  na parterze zaprojektowano 7 lokali mieszkalnych jednoosobowych</w:t>
            </w:r>
            <w:r w:rsidR="0081532F" w:rsidRPr="005A58C0">
              <w:rPr>
                <w:rFonts w:ascii="Times New Roman" w:eastAsia="Times New Roman" w:hAnsi="Times New Roman" w:cs="Times New Roman"/>
                <w:sz w:val="18"/>
                <w:szCs w:val="18"/>
                <w:lang w:eastAsia="pl-PL"/>
              </w:rPr>
              <w:t xml:space="preserve"> </w:t>
            </w:r>
            <w:r w:rsidRPr="005A58C0">
              <w:rPr>
                <w:rFonts w:ascii="Times New Roman" w:eastAsia="Times New Roman" w:hAnsi="Times New Roman" w:cs="Times New Roman"/>
                <w:sz w:val="18"/>
                <w:szCs w:val="18"/>
                <w:lang w:eastAsia="pl-PL"/>
              </w:rPr>
              <w:t xml:space="preserve"> oraz 1 lokal mieszkalny dwuosobowy, na pozostałych piętrach</w:t>
            </w:r>
            <w:r w:rsidR="00BD438D" w:rsidRPr="005A58C0">
              <w:rPr>
                <w:rFonts w:ascii="Times New Roman" w:eastAsia="Times New Roman" w:hAnsi="Times New Roman" w:cs="Times New Roman"/>
                <w:sz w:val="18"/>
                <w:szCs w:val="18"/>
                <w:lang w:eastAsia="pl-PL"/>
              </w:rPr>
              <w:t xml:space="preserve"> tj.</w:t>
            </w:r>
            <w:r w:rsidRPr="005A58C0">
              <w:rPr>
                <w:rFonts w:ascii="Times New Roman" w:eastAsia="Times New Roman" w:hAnsi="Times New Roman" w:cs="Times New Roman"/>
                <w:sz w:val="18"/>
                <w:szCs w:val="18"/>
                <w:lang w:eastAsia="pl-PL"/>
              </w:rPr>
              <w:t xml:space="preserve"> I piętra, II pietra oraz III piętra zaprojektowano po 7</w:t>
            </w:r>
            <w:r w:rsidR="00BD438D" w:rsidRPr="005A58C0">
              <w:rPr>
                <w:rFonts w:ascii="Times New Roman" w:eastAsia="Times New Roman" w:hAnsi="Times New Roman" w:cs="Times New Roman"/>
                <w:sz w:val="18"/>
                <w:szCs w:val="18"/>
                <w:lang w:eastAsia="pl-PL"/>
              </w:rPr>
              <w:t xml:space="preserve"> </w:t>
            </w:r>
            <w:r w:rsidRPr="005A58C0">
              <w:rPr>
                <w:rFonts w:ascii="Times New Roman" w:eastAsia="Times New Roman" w:hAnsi="Times New Roman" w:cs="Times New Roman"/>
                <w:sz w:val="18"/>
                <w:szCs w:val="18"/>
                <w:lang w:eastAsia="pl-PL"/>
              </w:rPr>
              <w:t>lokali mieszkalnych jednoosobowych oraz po 2 lokale mieszkalne dwuosobowe. W budynku zaprojektowano jeden lokal mieszkalny dostępny dla osoby niepełnosprawnej</w:t>
            </w:r>
          </w:p>
        </w:tc>
      </w:tr>
      <w:tr w:rsidR="005A58C0" w:rsidRPr="005A58C0" w14:paraId="147A3B37" w14:textId="77777777" w:rsidTr="006B5CB4">
        <w:tc>
          <w:tcPr>
            <w:tcW w:w="2999" w:type="dxa"/>
            <w:tcBorders>
              <w:top w:val="single" w:sz="4" w:space="0" w:color="auto"/>
              <w:left w:val="single" w:sz="8" w:space="0" w:color="auto"/>
              <w:bottom w:val="nil"/>
              <w:right w:val="single" w:sz="8" w:space="0" w:color="auto"/>
            </w:tcBorders>
            <w:shd w:val="clear" w:color="auto" w:fill="F2F2F2"/>
            <w:tcMar>
              <w:top w:w="0" w:type="dxa"/>
              <w:left w:w="108" w:type="dxa"/>
              <w:bottom w:w="0" w:type="dxa"/>
              <w:right w:w="108" w:type="dxa"/>
            </w:tcMar>
            <w:hideMark/>
          </w:tcPr>
          <w:p w14:paraId="4D15AC85"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lastRenderedPageBreak/>
              <w:t> </w:t>
            </w:r>
          </w:p>
        </w:tc>
        <w:tc>
          <w:tcPr>
            <w:tcW w:w="19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883CA9"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Liczba miejsc garażowych i postojowych</w:t>
            </w:r>
          </w:p>
        </w:tc>
        <w:tc>
          <w:tcPr>
            <w:tcW w:w="41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8C1123" w14:textId="5AD45AA7" w:rsidR="00940D9F" w:rsidRPr="005A58C0" w:rsidRDefault="00D53BF7" w:rsidP="00BD438D">
            <w:pPr>
              <w:autoSpaceDN w:val="0"/>
              <w:spacing w:before="144" w:after="144" w:line="240" w:lineRule="auto"/>
              <w:jc w:val="both"/>
              <w:rPr>
                <w:rFonts w:ascii="Times New Roman" w:eastAsia="Times New Roman" w:hAnsi="Times New Roman" w:cs="Times New Roman"/>
                <w:sz w:val="18"/>
                <w:szCs w:val="18"/>
                <w:lang w:eastAsia="pl-PL"/>
              </w:rPr>
            </w:pPr>
            <w:r w:rsidRPr="005A58C0">
              <w:rPr>
                <w:rFonts w:ascii="Times New Roman" w:eastAsia="Times New Roman" w:hAnsi="Times New Roman" w:cs="Times New Roman"/>
                <w:sz w:val="18"/>
                <w:szCs w:val="18"/>
                <w:lang w:eastAsia="pl-PL"/>
              </w:rPr>
              <w:t>9</w:t>
            </w:r>
            <w:r w:rsidR="009236F3" w:rsidRPr="005A58C0">
              <w:rPr>
                <w:rFonts w:ascii="Times New Roman" w:eastAsia="Times New Roman" w:hAnsi="Times New Roman" w:cs="Times New Roman"/>
                <w:sz w:val="18"/>
                <w:szCs w:val="18"/>
                <w:lang w:eastAsia="pl-PL"/>
              </w:rPr>
              <w:t xml:space="preserve"> </w:t>
            </w:r>
            <w:r w:rsidR="00696237" w:rsidRPr="005A58C0">
              <w:rPr>
                <w:rFonts w:ascii="Times New Roman" w:eastAsia="Times New Roman" w:hAnsi="Times New Roman" w:cs="Times New Roman"/>
                <w:sz w:val="18"/>
                <w:szCs w:val="18"/>
                <w:lang w:eastAsia="pl-PL"/>
              </w:rPr>
              <w:t>stanowisk</w:t>
            </w:r>
            <w:r w:rsidR="009236F3" w:rsidRPr="005A58C0">
              <w:rPr>
                <w:rFonts w:ascii="Times New Roman" w:eastAsia="Times New Roman" w:hAnsi="Times New Roman" w:cs="Times New Roman"/>
                <w:sz w:val="18"/>
                <w:szCs w:val="18"/>
                <w:lang w:eastAsia="pl-PL"/>
              </w:rPr>
              <w:t xml:space="preserve"> postojowych</w:t>
            </w:r>
            <w:r w:rsidR="007456D3" w:rsidRPr="005A58C0">
              <w:rPr>
                <w:rFonts w:ascii="Times New Roman" w:eastAsia="Times New Roman" w:hAnsi="Times New Roman" w:cs="Times New Roman"/>
                <w:sz w:val="18"/>
                <w:szCs w:val="18"/>
                <w:lang w:eastAsia="pl-PL"/>
              </w:rPr>
              <w:t xml:space="preserve"> zlokalizowanych w garażu podziemnym oraz </w:t>
            </w:r>
            <w:r w:rsidRPr="005A58C0">
              <w:rPr>
                <w:rFonts w:ascii="Times New Roman" w:eastAsia="Times New Roman" w:hAnsi="Times New Roman" w:cs="Times New Roman"/>
                <w:sz w:val="18"/>
                <w:szCs w:val="18"/>
                <w:lang w:eastAsia="pl-PL"/>
              </w:rPr>
              <w:t xml:space="preserve">1 stanowisko </w:t>
            </w:r>
            <w:r w:rsidR="007456D3" w:rsidRPr="005A58C0">
              <w:rPr>
                <w:rFonts w:ascii="Times New Roman" w:eastAsia="Times New Roman" w:hAnsi="Times New Roman" w:cs="Times New Roman"/>
                <w:sz w:val="18"/>
                <w:szCs w:val="18"/>
                <w:lang w:eastAsia="pl-PL"/>
              </w:rPr>
              <w:t>na powierzchni terenu</w:t>
            </w:r>
            <w:r w:rsidR="00696237" w:rsidRPr="005A58C0">
              <w:rPr>
                <w:rFonts w:ascii="Times New Roman" w:eastAsia="Times New Roman" w:hAnsi="Times New Roman" w:cs="Times New Roman"/>
                <w:sz w:val="18"/>
                <w:szCs w:val="18"/>
                <w:lang w:eastAsia="pl-PL"/>
              </w:rPr>
              <w:t xml:space="preserve"> dla osoby niepełnosprawnej</w:t>
            </w:r>
          </w:p>
        </w:tc>
      </w:tr>
      <w:tr w:rsidR="005A58C0" w:rsidRPr="005A58C0" w14:paraId="402F20B5" w14:textId="77777777" w:rsidTr="006B5CB4">
        <w:tc>
          <w:tcPr>
            <w:tcW w:w="2999" w:type="dxa"/>
            <w:tcBorders>
              <w:top w:val="nil"/>
              <w:left w:val="single" w:sz="8" w:space="0" w:color="auto"/>
              <w:bottom w:val="nil"/>
              <w:right w:val="single" w:sz="8" w:space="0" w:color="auto"/>
            </w:tcBorders>
            <w:shd w:val="clear" w:color="auto" w:fill="F2F2F2"/>
            <w:tcMar>
              <w:top w:w="0" w:type="dxa"/>
              <w:left w:w="108" w:type="dxa"/>
              <w:bottom w:w="0" w:type="dxa"/>
              <w:right w:w="108" w:type="dxa"/>
            </w:tcMar>
            <w:hideMark/>
          </w:tcPr>
          <w:p w14:paraId="303E7C1B"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14:paraId="682BEA74"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Dostępne media w budynku</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14:paraId="77CE4B64" w14:textId="0C3D0126" w:rsidR="00940D9F" w:rsidRPr="005A58C0" w:rsidRDefault="006B5CB4" w:rsidP="00BD438D">
            <w:pPr>
              <w:tabs>
                <w:tab w:val="center" w:pos="1421"/>
              </w:tabs>
              <w:autoSpaceDN w:val="0"/>
              <w:spacing w:before="144" w:after="144" w:line="240" w:lineRule="auto"/>
              <w:jc w:val="both"/>
              <w:rPr>
                <w:rFonts w:ascii="Times New Roman" w:eastAsia="Times New Roman" w:hAnsi="Times New Roman" w:cs="Times New Roman"/>
                <w:sz w:val="18"/>
                <w:szCs w:val="18"/>
                <w:lang w:eastAsia="pl-PL"/>
              </w:rPr>
            </w:pPr>
            <w:r w:rsidRPr="005A58C0">
              <w:rPr>
                <w:rFonts w:ascii="Times New Roman" w:eastAsia="Times New Roman" w:hAnsi="Times New Roman" w:cs="Times New Roman"/>
                <w:sz w:val="18"/>
                <w:szCs w:val="18"/>
                <w:lang w:eastAsia="pl-PL"/>
              </w:rPr>
              <w:t>sieć wodociągowa, kanalizacja sanitarna, energia elektryczna</w:t>
            </w:r>
            <w:r w:rsidR="00944A75" w:rsidRPr="005A58C0">
              <w:rPr>
                <w:rFonts w:ascii="Times New Roman" w:eastAsia="Times New Roman" w:hAnsi="Times New Roman" w:cs="Times New Roman"/>
                <w:sz w:val="18"/>
                <w:szCs w:val="18"/>
                <w:lang w:eastAsia="pl-PL"/>
              </w:rPr>
              <w:t>, ciepło systemowe i c.w.u. z cieplika, kanalizacja deszczowa</w:t>
            </w:r>
          </w:p>
        </w:tc>
      </w:tr>
      <w:tr w:rsidR="005A58C0" w:rsidRPr="005A58C0" w14:paraId="3B36C2E8" w14:textId="77777777" w:rsidTr="006B5CB4">
        <w:tc>
          <w:tcPr>
            <w:tcW w:w="299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B069073"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p>
        </w:tc>
        <w:tc>
          <w:tcPr>
            <w:tcW w:w="1953" w:type="dxa"/>
            <w:tcBorders>
              <w:top w:val="nil"/>
              <w:left w:val="nil"/>
              <w:bottom w:val="single" w:sz="8" w:space="0" w:color="auto"/>
              <w:right w:val="single" w:sz="8" w:space="0" w:color="auto"/>
            </w:tcBorders>
            <w:tcMar>
              <w:top w:w="0" w:type="dxa"/>
              <w:left w:w="108" w:type="dxa"/>
              <w:bottom w:w="0" w:type="dxa"/>
              <w:right w:w="108" w:type="dxa"/>
            </w:tcMar>
            <w:hideMark/>
          </w:tcPr>
          <w:p w14:paraId="75E07DAA" w14:textId="77777777" w:rsidR="00940D9F" w:rsidRPr="005A58C0" w:rsidRDefault="00940D9F" w:rsidP="00940D9F">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Dostęp do drogi publicznej</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14:paraId="4041E68F" w14:textId="4EE32381" w:rsidR="00940D9F" w:rsidRPr="005A58C0" w:rsidRDefault="006B5CB4" w:rsidP="00AD500B">
            <w:pPr>
              <w:autoSpaceDN w:val="0"/>
              <w:spacing w:before="144" w:after="144" w:line="240" w:lineRule="auto"/>
              <w:jc w:val="both"/>
              <w:rPr>
                <w:rFonts w:ascii="Times New Roman" w:eastAsia="Times New Roman" w:hAnsi="Times New Roman" w:cs="Times New Roman"/>
                <w:sz w:val="18"/>
                <w:szCs w:val="18"/>
                <w:lang w:eastAsia="pl-PL"/>
              </w:rPr>
            </w:pPr>
            <w:r w:rsidRPr="005A58C0">
              <w:rPr>
                <w:rFonts w:ascii="Times New Roman" w:eastAsia="Times New Roman" w:hAnsi="Times New Roman" w:cs="Times New Roman"/>
                <w:sz w:val="18"/>
                <w:szCs w:val="18"/>
                <w:lang w:eastAsia="pl-PL"/>
              </w:rPr>
              <w:t>Nieruchomość wspólna ma bezpośredni dostęp do drogi publicznej</w:t>
            </w:r>
            <w:r w:rsidR="002501D4" w:rsidRPr="005A58C0">
              <w:rPr>
                <w:rFonts w:ascii="Times New Roman" w:eastAsia="Times New Roman" w:hAnsi="Times New Roman" w:cs="Times New Roman"/>
                <w:sz w:val="18"/>
                <w:szCs w:val="18"/>
                <w:lang w:eastAsia="pl-PL"/>
              </w:rPr>
              <w:t xml:space="preserve">, ul. Na Miasteczku, działka 132/5 </w:t>
            </w:r>
            <w:r w:rsidRPr="005A58C0">
              <w:rPr>
                <w:rFonts w:ascii="Times New Roman" w:eastAsia="Times New Roman" w:hAnsi="Times New Roman" w:cs="Times New Roman"/>
                <w:sz w:val="18"/>
                <w:szCs w:val="18"/>
                <w:lang w:eastAsia="pl-PL"/>
              </w:rPr>
              <w:t xml:space="preserve"> </w:t>
            </w:r>
            <w:r w:rsidR="000D3692" w:rsidRPr="005A58C0">
              <w:rPr>
                <w:rFonts w:ascii="Times New Roman" w:eastAsia="Times New Roman" w:hAnsi="Times New Roman" w:cs="Times New Roman"/>
                <w:sz w:val="18"/>
                <w:szCs w:val="18"/>
                <w:lang w:eastAsia="pl-PL"/>
              </w:rPr>
              <w:t xml:space="preserve">(identyfikator działki </w:t>
            </w:r>
            <w:hyperlink r:id="rId14" w:history="1">
              <w:r w:rsidR="000D3692" w:rsidRPr="005A58C0">
                <w:rPr>
                  <w:rStyle w:val="Hipercze"/>
                  <w:rFonts w:cstheme="minorHAnsi"/>
                  <w:b/>
                  <w:bCs/>
                  <w:color w:val="auto"/>
                  <w:sz w:val="18"/>
                  <w:szCs w:val="18"/>
                  <w:bdr w:val="none" w:sz="0" w:space="0" w:color="auto" w:frame="1"/>
                  <w:shd w:val="clear" w:color="auto" w:fill="FFFFFF"/>
                </w:rPr>
                <w:t>306401_1.0005.AR_03.132/5</w:t>
              </w:r>
            </w:hyperlink>
            <w:r w:rsidR="000D3692" w:rsidRPr="005A58C0">
              <w:rPr>
                <w:rFonts w:cstheme="minorHAnsi"/>
                <w:sz w:val="18"/>
                <w:szCs w:val="18"/>
              </w:rPr>
              <w:t>)</w:t>
            </w:r>
          </w:p>
        </w:tc>
      </w:tr>
      <w:tr w:rsidR="005A58C0" w:rsidRPr="005A58C0" w14:paraId="43A44573" w14:textId="77777777" w:rsidTr="006B5CB4">
        <w:tc>
          <w:tcPr>
            <w:tcW w:w="299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EE018A5" w14:textId="77777777" w:rsidR="00940D9F" w:rsidRPr="005A58C0" w:rsidRDefault="00940D9F" w:rsidP="00940D9F">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Określenie usytuowania lokalu mieszkalnego w budynku, jeżeli przedsięwzięcie deweloperskie lub zadanie inwestycyjne dotyczy lokali mieszkalnych</w:t>
            </w:r>
          </w:p>
        </w:tc>
        <w:tc>
          <w:tcPr>
            <w:tcW w:w="605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361E4E07" w14:textId="07832A84" w:rsidR="00940D9F" w:rsidRPr="005A58C0" w:rsidRDefault="006B5CB4" w:rsidP="00AD500B">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Lokal oznaczony w projekcie budowlanym symbolem</w:t>
            </w:r>
            <w:r w:rsidR="00985E9D">
              <w:rPr>
                <w:rFonts w:ascii="Times New Roman" w:eastAsia="Times New Roman" w:hAnsi="Times New Roman" w:cs="Times New Roman"/>
                <w:sz w:val="20"/>
                <w:szCs w:val="20"/>
                <w:lang w:eastAsia="pl-PL"/>
              </w:rPr>
              <w:t xml:space="preserve"> M06</w:t>
            </w:r>
            <w:r w:rsidRPr="005A58C0">
              <w:rPr>
                <w:rFonts w:ascii="Times New Roman" w:eastAsia="Times New Roman" w:hAnsi="Times New Roman" w:cs="Times New Roman"/>
                <w:sz w:val="20"/>
                <w:szCs w:val="20"/>
                <w:lang w:eastAsia="pl-PL"/>
              </w:rPr>
              <w:t>, usytuowany będzie na</w:t>
            </w:r>
            <w:r w:rsidR="00985E9D">
              <w:rPr>
                <w:rFonts w:ascii="Times New Roman" w:eastAsia="Times New Roman" w:hAnsi="Times New Roman" w:cs="Times New Roman"/>
                <w:sz w:val="20"/>
                <w:szCs w:val="20"/>
                <w:lang w:eastAsia="pl-PL"/>
              </w:rPr>
              <w:t xml:space="preserve"> parterze</w:t>
            </w:r>
            <w:r w:rsidRPr="005A58C0">
              <w:rPr>
                <w:rFonts w:ascii="Times New Roman" w:eastAsia="Times New Roman" w:hAnsi="Times New Roman" w:cs="Times New Roman"/>
                <w:sz w:val="20"/>
                <w:szCs w:val="20"/>
                <w:lang w:eastAsia="pl-PL"/>
              </w:rPr>
              <w:t>, z wejściem zgodnie z Koncepcją Zagospodarowania Terenu.</w:t>
            </w:r>
          </w:p>
        </w:tc>
      </w:tr>
      <w:tr w:rsidR="005A58C0" w:rsidRPr="005A58C0" w14:paraId="6366E20C" w14:textId="77777777" w:rsidTr="006B5CB4">
        <w:tc>
          <w:tcPr>
            <w:tcW w:w="2999" w:type="dxa"/>
            <w:tcBorders>
              <w:top w:val="nil"/>
              <w:left w:val="single" w:sz="8" w:space="0" w:color="auto"/>
              <w:bottom w:val="single" w:sz="8" w:space="0" w:color="auto"/>
              <w:right w:val="single" w:sz="4" w:space="0" w:color="auto"/>
            </w:tcBorders>
            <w:shd w:val="clear" w:color="auto" w:fill="F2F2F2"/>
            <w:tcMar>
              <w:top w:w="0" w:type="dxa"/>
              <w:left w:w="108" w:type="dxa"/>
              <w:bottom w:w="0" w:type="dxa"/>
              <w:right w:w="108" w:type="dxa"/>
            </w:tcMar>
            <w:hideMark/>
          </w:tcPr>
          <w:p w14:paraId="10091DA1" w14:textId="77777777" w:rsidR="006B5CB4" w:rsidRPr="005A58C0" w:rsidRDefault="006B5CB4" w:rsidP="006B5CB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Określenie powierzchni użytkowej i układu pomieszczeń oraz zakresu i standardu prac wykończeniowych, do których wykonania zobowiązuje się deweloper</w:t>
            </w:r>
          </w:p>
        </w:tc>
        <w:tc>
          <w:tcPr>
            <w:tcW w:w="60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F023D" w14:textId="77777777" w:rsidR="006B5CB4" w:rsidRPr="005A58C0" w:rsidRDefault="006B5CB4" w:rsidP="00AD500B">
            <w:pPr>
              <w:pStyle w:val="NormalnyWeb"/>
              <w:spacing w:before="0" w:after="0"/>
              <w:jc w:val="both"/>
              <w:rPr>
                <w:sz w:val="20"/>
                <w:szCs w:val="20"/>
                <w:lang w:eastAsia="pl-PL"/>
              </w:rPr>
            </w:pPr>
            <w:r w:rsidRPr="005A58C0">
              <w:rPr>
                <w:sz w:val="20"/>
                <w:szCs w:val="20"/>
                <w:lang w:eastAsia="pl-PL"/>
              </w:rPr>
              <w:t xml:space="preserve">Lokal będzie posiadał następujące cechy: </w:t>
            </w:r>
          </w:p>
          <w:p w14:paraId="1A05C56A" w14:textId="617F46F0" w:rsidR="006B5CB4" w:rsidRPr="005A58C0" w:rsidRDefault="006B5CB4" w:rsidP="00AD500B">
            <w:pPr>
              <w:pStyle w:val="NormalnyWeb"/>
              <w:spacing w:before="0" w:after="0"/>
              <w:ind w:left="255" w:hanging="255"/>
              <w:jc w:val="both"/>
              <w:rPr>
                <w:sz w:val="20"/>
                <w:szCs w:val="20"/>
                <w:lang w:eastAsia="pl-PL"/>
              </w:rPr>
            </w:pPr>
            <w:r w:rsidRPr="005A58C0">
              <w:rPr>
                <w:sz w:val="20"/>
                <w:szCs w:val="20"/>
                <w:lang w:eastAsia="pl-PL"/>
              </w:rPr>
              <w:t>a. będzie miał łączną powierzchnie użytkową mieszkania</w:t>
            </w:r>
            <w:r w:rsidR="00985E9D">
              <w:rPr>
                <w:sz w:val="20"/>
                <w:szCs w:val="20"/>
                <w:lang w:eastAsia="pl-PL"/>
              </w:rPr>
              <w:t xml:space="preserve"> 25,95</w:t>
            </w:r>
            <w:r w:rsidR="00C94003" w:rsidRPr="005A58C0">
              <w:rPr>
                <w:sz w:val="20"/>
                <w:szCs w:val="20"/>
                <w:lang w:eastAsia="pl-PL"/>
              </w:rPr>
              <w:t>.</w:t>
            </w:r>
            <w:r w:rsidRPr="005A58C0">
              <w:rPr>
                <w:sz w:val="20"/>
                <w:szCs w:val="20"/>
                <w:lang w:eastAsia="pl-PL"/>
              </w:rPr>
              <w:t>m2 (</w:t>
            </w:r>
            <w:r w:rsidR="00C94003" w:rsidRPr="005A58C0">
              <w:rPr>
                <w:sz w:val="20"/>
                <w:szCs w:val="20"/>
                <w:lang w:eastAsia="pl-PL"/>
              </w:rPr>
              <w:t>słownie</w:t>
            </w:r>
            <w:r w:rsidR="00985E9D">
              <w:rPr>
                <w:sz w:val="20"/>
                <w:szCs w:val="20"/>
                <w:lang w:eastAsia="pl-PL"/>
              </w:rPr>
              <w:t xml:space="preserve"> dwadzieścia pięć i 95/100</w:t>
            </w:r>
            <w:r w:rsidRPr="005A58C0">
              <w:rPr>
                <w:sz w:val="20"/>
                <w:szCs w:val="20"/>
                <w:lang w:eastAsia="pl-PL"/>
              </w:rPr>
              <w:t>) oraz układ pomieszczeń zgodnie z załącznikiem stanowiącym rzut Lokal</w:t>
            </w:r>
            <w:r w:rsidR="00252BE1" w:rsidRPr="005A58C0">
              <w:rPr>
                <w:sz w:val="20"/>
                <w:szCs w:val="20"/>
                <w:lang w:eastAsia="pl-PL"/>
              </w:rPr>
              <w:t>u</w:t>
            </w:r>
          </w:p>
          <w:p w14:paraId="6A733285" w14:textId="61D71A12" w:rsidR="006B5CB4" w:rsidRPr="005A58C0" w:rsidRDefault="006B5CB4" w:rsidP="00AD500B">
            <w:pPr>
              <w:pStyle w:val="NormalnyWeb"/>
              <w:spacing w:before="0" w:after="0"/>
              <w:jc w:val="both"/>
              <w:rPr>
                <w:sz w:val="20"/>
                <w:szCs w:val="20"/>
                <w:lang w:eastAsia="pl-PL"/>
              </w:rPr>
            </w:pPr>
            <w:r w:rsidRPr="005A58C0">
              <w:rPr>
                <w:sz w:val="20"/>
                <w:szCs w:val="20"/>
                <w:lang w:eastAsia="pl-PL"/>
              </w:rPr>
              <w:t xml:space="preserve">b. będzie posiadał </w:t>
            </w:r>
            <w:r w:rsidR="006A6C93" w:rsidRPr="005A58C0">
              <w:rPr>
                <w:sz w:val="20"/>
                <w:szCs w:val="20"/>
                <w:lang w:eastAsia="pl-PL"/>
              </w:rPr>
              <w:t>jedną</w:t>
            </w:r>
            <w:r w:rsidRPr="005A58C0">
              <w:rPr>
                <w:sz w:val="20"/>
                <w:szCs w:val="20"/>
                <w:lang w:eastAsia="pl-PL"/>
              </w:rPr>
              <w:t xml:space="preserve"> kondygnacj</w:t>
            </w:r>
            <w:r w:rsidR="006A6C93" w:rsidRPr="005A58C0">
              <w:rPr>
                <w:sz w:val="20"/>
                <w:szCs w:val="20"/>
                <w:lang w:eastAsia="pl-PL"/>
              </w:rPr>
              <w:t>ę</w:t>
            </w:r>
            <w:r w:rsidRPr="005A58C0">
              <w:rPr>
                <w:sz w:val="20"/>
                <w:szCs w:val="20"/>
                <w:lang w:eastAsia="pl-PL"/>
              </w:rPr>
              <w:t xml:space="preserve">; </w:t>
            </w:r>
          </w:p>
          <w:p w14:paraId="6FF2A1F5" w14:textId="77777777" w:rsidR="00050E7A" w:rsidRPr="005A58C0" w:rsidRDefault="006B5CB4" w:rsidP="00050E7A">
            <w:pPr>
              <w:pStyle w:val="NormalnyWeb"/>
              <w:spacing w:before="0" w:after="0"/>
              <w:jc w:val="both"/>
              <w:rPr>
                <w:sz w:val="20"/>
                <w:szCs w:val="20"/>
                <w:lang w:eastAsia="pl-PL"/>
              </w:rPr>
            </w:pPr>
            <w:r w:rsidRPr="005A58C0">
              <w:rPr>
                <w:sz w:val="20"/>
                <w:szCs w:val="20"/>
                <w:lang w:eastAsia="pl-PL"/>
              </w:rPr>
              <w:t xml:space="preserve">c. </w:t>
            </w:r>
            <w:r w:rsidR="00050E7A" w:rsidRPr="005A58C0">
              <w:rPr>
                <w:sz w:val="20"/>
                <w:szCs w:val="20"/>
                <w:lang w:eastAsia="pl-PL"/>
              </w:rPr>
              <w:t>zostanie wykończony w zakresie i standardzie deweloperskim</w:t>
            </w:r>
            <w:r w:rsidR="00050E7A">
              <w:rPr>
                <w:sz w:val="20"/>
                <w:szCs w:val="20"/>
                <w:lang w:eastAsia="pl-PL"/>
              </w:rPr>
              <w:t xml:space="preserve"> opisanym wyżej.</w:t>
            </w:r>
            <w:r w:rsidR="00050E7A" w:rsidRPr="005A58C0">
              <w:rPr>
                <w:sz w:val="20"/>
                <w:szCs w:val="20"/>
                <w:lang w:eastAsia="pl-PL"/>
              </w:rPr>
              <w:t xml:space="preserve"> </w:t>
            </w:r>
          </w:p>
          <w:p w14:paraId="18066E9A" w14:textId="4A3C18EF" w:rsidR="00886E74" w:rsidRPr="005A58C0" w:rsidRDefault="00886E74" w:rsidP="00886E74">
            <w:pPr>
              <w:pBdr>
                <w:bottom w:val="single" w:sz="6" w:space="4" w:color="DADADA"/>
              </w:pBdr>
              <w:spacing w:after="0" w:line="240" w:lineRule="auto"/>
              <w:rPr>
                <w:rFonts w:ascii="Times New Roman" w:eastAsia="Times New Roman" w:hAnsi="Times New Roman" w:cs="Times New Roman"/>
                <w:sz w:val="20"/>
                <w:szCs w:val="20"/>
                <w:lang w:eastAsia="pl-PL"/>
              </w:rPr>
            </w:pPr>
          </w:p>
          <w:p w14:paraId="11BD0C1C" w14:textId="77777777" w:rsidR="00886E74" w:rsidRPr="005A58C0" w:rsidRDefault="00886E74" w:rsidP="00886E74">
            <w:pPr>
              <w:pStyle w:val="NormalnyWeb"/>
              <w:spacing w:before="0" w:after="0"/>
              <w:ind w:left="913"/>
              <w:jc w:val="both"/>
              <w:rPr>
                <w:sz w:val="20"/>
                <w:szCs w:val="20"/>
                <w:lang w:eastAsia="pl-PL"/>
              </w:rPr>
            </w:pPr>
          </w:p>
          <w:p w14:paraId="1C864133" w14:textId="77777777" w:rsidR="00886E74" w:rsidRPr="005A58C0" w:rsidRDefault="00886E74" w:rsidP="00886E74">
            <w:pPr>
              <w:pStyle w:val="Textbody"/>
              <w:tabs>
                <w:tab w:val="left" w:pos="795"/>
                <w:tab w:val="left" w:pos="881"/>
                <w:tab w:val="left" w:pos="1138"/>
              </w:tabs>
              <w:spacing w:after="0"/>
              <w:jc w:val="both"/>
              <w:rPr>
                <w:kern w:val="0"/>
                <w:sz w:val="20"/>
                <w:szCs w:val="20"/>
                <w:lang w:eastAsia="pl-PL"/>
              </w:rPr>
            </w:pPr>
            <w:r w:rsidRPr="005A58C0">
              <w:rPr>
                <w:kern w:val="0"/>
                <w:sz w:val="20"/>
                <w:szCs w:val="20"/>
                <w:lang w:eastAsia="pl-PL"/>
              </w:rPr>
              <w:t>Wykończenie w standardzie deweloperskim nie obejmuje montażu drzwi wewnętrznych ani ogrzewania podłogowego.</w:t>
            </w:r>
          </w:p>
          <w:p w14:paraId="78556275" w14:textId="77777777" w:rsidR="00886E74" w:rsidRPr="005A58C0" w:rsidRDefault="00886E74" w:rsidP="00886E74">
            <w:pPr>
              <w:pBdr>
                <w:bottom w:val="single" w:sz="6" w:space="4" w:color="DADADA"/>
              </w:pBdr>
              <w:spacing w:after="0" w:line="240" w:lineRule="auto"/>
              <w:rPr>
                <w:rFonts w:ascii="Times New Roman" w:eastAsia="Times New Roman" w:hAnsi="Times New Roman" w:cs="Times New Roman"/>
                <w:sz w:val="20"/>
                <w:szCs w:val="20"/>
                <w:lang w:eastAsia="pl-PL"/>
              </w:rPr>
            </w:pPr>
          </w:p>
          <w:p w14:paraId="48C25C97" w14:textId="4875C478" w:rsidR="006B5CB4" w:rsidRPr="005A58C0" w:rsidRDefault="006B5CB4" w:rsidP="00886E74">
            <w:pPr>
              <w:pStyle w:val="NormalnyWeb"/>
              <w:spacing w:before="0" w:after="0"/>
              <w:jc w:val="both"/>
              <w:rPr>
                <w:sz w:val="20"/>
                <w:szCs w:val="20"/>
                <w:lang w:eastAsia="pl-PL"/>
              </w:rPr>
            </w:pPr>
          </w:p>
        </w:tc>
      </w:tr>
      <w:tr w:rsidR="005A58C0" w:rsidRPr="005A58C0" w14:paraId="5BA56094" w14:textId="77777777" w:rsidTr="006B5CB4">
        <w:trPr>
          <w:trHeight w:val="1035"/>
        </w:trPr>
        <w:tc>
          <w:tcPr>
            <w:tcW w:w="2999" w:type="dxa"/>
            <w:tcBorders>
              <w:top w:val="nil"/>
              <w:left w:val="single" w:sz="8" w:space="0" w:color="auto"/>
              <w:bottom w:val="single" w:sz="4" w:space="0" w:color="auto"/>
              <w:right w:val="single" w:sz="8" w:space="0" w:color="auto"/>
            </w:tcBorders>
            <w:shd w:val="clear" w:color="auto" w:fill="F2F2F2"/>
            <w:tcMar>
              <w:top w:w="0" w:type="dxa"/>
              <w:left w:w="108" w:type="dxa"/>
              <w:bottom w:w="0" w:type="dxa"/>
              <w:right w:w="108" w:type="dxa"/>
            </w:tcMar>
            <w:hideMark/>
          </w:tcPr>
          <w:p w14:paraId="7CFAD45A" w14:textId="77777777" w:rsidR="006B5CB4" w:rsidRPr="005A58C0" w:rsidRDefault="006B5CB4" w:rsidP="006B5CB4">
            <w:pPr>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Data wydania zaświadczenia o samodzielności lokalu mieszkalnego</w:t>
            </w:r>
          </w:p>
        </w:tc>
        <w:tc>
          <w:tcPr>
            <w:tcW w:w="605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DB17369" w14:textId="2DA3AC9A" w:rsidR="006B5CB4" w:rsidRPr="005A58C0" w:rsidRDefault="006B5CB4" w:rsidP="006B5CB4">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 NIE DOTYCZY </w:t>
            </w:r>
          </w:p>
        </w:tc>
      </w:tr>
      <w:tr w:rsidR="005A58C0" w:rsidRPr="005A58C0" w14:paraId="630FF654" w14:textId="77777777" w:rsidTr="006B5CB4">
        <w:trPr>
          <w:trHeight w:val="1050"/>
        </w:trPr>
        <w:tc>
          <w:tcPr>
            <w:tcW w:w="29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276FB02" w14:textId="77777777" w:rsidR="006B5CB4" w:rsidRPr="005A58C0" w:rsidRDefault="006B5CB4" w:rsidP="006B5CB4">
            <w:pPr>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Data ustanowienia odrębnej własności lokalu mieszkalnego</w:t>
            </w:r>
          </w:p>
        </w:tc>
        <w:tc>
          <w:tcPr>
            <w:tcW w:w="60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8757C" w14:textId="5465D4A1" w:rsidR="006B5CB4" w:rsidRPr="005A58C0" w:rsidRDefault="006B5CB4" w:rsidP="006B5CB4">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r w:rsidRPr="005A58C0">
              <w:rPr>
                <w:rFonts w:ascii="Times New Roman" w:eastAsia="Times New Roman" w:hAnsi="Times New Roman" w:cs="Times New Roman"/>
                <w:sz w:val="20"/>
                <w:szCs w:val="20"/>
                <w:lang w:eastAsia="pl-PL"/>
              </w:rPr>
              <w:t> NIE DOTYCZY</w:t>
            </w:r>
          </w:p>
        </w:tc>
      </w:tr>
      <w:tr w:rsidR="005A58C0" w:rsidRPr="005A58C0" w14:paraId="30A2348C" w14:textId="77777777" w:rsidTr="006B5CB4">
        <w:tc>
          <w:tcPr>
            <w:tcW w:w="299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669DE03" w14:textId="77777777" w:rsidR="006B5CB4" w:rsidRPr="005A58C0" w:rsidRDefault="006B5CB4" w:rsidP="006B5CB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Informacje o lokalu użytkowym nabywanym równocześnie z lokalem mieszkalnym albo domem jednorodzinnym</w:t>
            </w:r>
          </w:p>
        </w:tc>
        <w:tc>
          <w:tcPr>
            <w:tcW w:w="605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770FB3" w14:textId="619B0EBC" w:rsidR="006B5CB4" w:rsidRPr="005A58C0" w:rsidRDefault="006B5CB4" w:rsidP="006B5CB4">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r w:rsidRPr="005A58C0">
              <w:rPr>
                <w:rFonts w:ascii="Times New Roman" w:eastAsia="Times New Roman" w:hAnsi="Times New Roman" w:cs="Times New Roman"/>
                <w:sz w:val="20"/>
                <w:szCs w:val="20"/>
                <w:lang w:eastAsia="pl-PL"/>
              </w:rPr>
              <w:t> NIE DOTYCZY</w:t>
            </w:r>
          </w:p>
        </w:tc>
      </w:tr>
      <w:tr w:rsidR="005A58C0" w:rsidRPr="005A58C0" w14:paraId="2C7DC2E7" w14:textId="77777777" w:rsidTr="00940D9F">
        <w:tc>
          <w:tcPr>
            <w:tcW w:w="299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9C6B5A0" w14:textId="77777777" w:rsidR="006B5CB4" w:rsidRPr="005A58C0" w:rsidRDefault="006B5CB4" w:rsidP="006B5CB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Cenę lokalu użytkowego albo ułamkowej części własności lokalu użytkowego </w:t>
            </w:r>
          </w:p>
        </w:tc>
        <w:tc>
          <w:tcPr>
            <w:tcW w:w="605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32A201" w14:textId="149131DE" w:rsidR="006B5CB4" w:rsidRPr="005A58C0" w:rsidRDefault="006B5CB4" w:rsidP="006B5CB4">
            <w:pPr>
              <w:autoSpaceDN w:val="0"/>
              <w:spacing w:before="144" w:after="144"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r w:rsidRPr="005A58C0">
              <w:rPr>
                <w:rFonts w:ascii="Times New Roman" w:eastAsia="Times New Roman" w:hAnsi="Times New Roman" w:cs="Times New Roman"/>
                <w:sz w:val="20"/>
                <w:szCs w:val="20"/>
                <w:lang w:eastAsia="pl-PL"/>
              </w:rPr>
              <w:t> NIE DOTYCZY</w:t>
            </w:r>
          </w:p>
        </w:tc>
      </w:tr>
      <w:tr w:rsidR="005A58C0" w:rsidRPr="005A58C0" w14:paraId="4E41AFB4" w14:textId="77777777" w:rsidTr="006B5CB4">
        <w:trPr>
          <w:trHeight w:val="1160"/>
        </w:trPr>
        <w:tc>
          <w:tcPr>
            <w:tcW w:w="299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FAAD6C8" w14:textId="77777777" w:rsidR="006B5CB4" w:rsidRPr="005A58C0" w:rsidRDefault="006B5CB4" w:rsidP="006B5CB4">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Termin, do którego nastąpi przeniesienie prawa własności lokalu użytkowego albo ułamkowej części własności lokalu użytkowego</w:t>
            </w:r>
          </w:p>
        </w:tc>
        <w:tc>
          <w:tcPr>
            <w:tcW w:w="605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FE9FB6" w14:textId="0AA727E9" w:rsidR="006B5CB4" w:rsidRPr="005A58C0" w:rsidRDefault="00EA5091" w:rsidP="006B5CB4">
            <w:pPr>
              <w:autoSpaceDN w:val="0"/>
              <w:spacing w:before="144"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r w:rsidR="00CF16FB">
              <w:rPr>
                <w:rFonts w:ascii="Times New Roman" w:eastAsia="Times New Roman" w:hAnsi="Times New Roman" w:cs="Times New Roman"/>
                <w:sz w:val="20"/>
                <w:szCs w:val="20"/>
                <w:lang w:eastAsia="pl-PL"/>
              </w:rPr>
              <w:t xml:space="preserve">03.2026 </w:t>
            </w:r>
            <w:r>
              <w:rPr>
                <w:rFonts w:ascii="Times New Roman" w:eastAsia="Times New Roman" w:hAnsi="Times New Roman" w:cs="Times New Roman"/>
                <w:sz w:val="20"/>
                <w:szCs w:val="20"/>
                <w:lang w:eastAsia="pl-PL"/>
              </w:rPr>
              <w:t>r</w:t>
            </w:r>
          </w:p>
        </w:tc>
      </w:tr>
    </w:tbl>
    <w:p w14:paraId="48FE7B22" w14:textId="77777777" w:rsidR="001B2EF6" w:rsidRPr="005A58C0" w:rsidRDefault="001B2EF6" w:rsidP="001B2EF6">
      <w:pPr>
        <w:autoSpaceDN w:val="0"/>
        <w:spacing w:before="144" w:after="144" w:line="240" w:lineRule="auto"/>
        <w:jc w:val="right"/>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p>
    <w:p w14:paraId="65C6B306" w14:textId="77777777" w:rsidR="001B2EF6" w:rsidRPr="005A58C0" w:rsidRDefault="001B2EF6" w:rsidP="001B2EF6">
      <w:pPr>
        <w:autoSpaceDN w:val="0"/>
        <w:spacing w:before="144" w:after="144" w:line="240" w:lineRule="auto"/>
        <w:jc w:val="right"/>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xml:space="preserve">Podpis </w:t>
      </w:r>
      <w:r w:rsidRPr="005A58C0">
        <w:rPr>
          <w:rFonts w:ascii="Times New Roman" w:eastAsia="Times New Roman" w:hAnsi="Times New Roman" w:cs="Times New Roman"/>
          <w:sz w:val="20"/>
          <w:szCs w:val="20"/>
          <w:lang w:eastAsia="pl-PL"/>
        </w:rPr>
        <w:t xml:space="preserve">dewelopera albo </w:t>
      </w:r>
      <w:r w:rsidRPr="005A58C0">
        <w:rPr>
          <w:rFonts w:ascii="Times New Roman" w:eastAsia="Times New Roman" w:hAnsi="Times New Roman" w:cs="Times New Roman"/>
          <w:b/>
          <w:bCs/>
          <w:sz w:val="20"/>
          <w:szCs w:val="20"/>
          <w:lang w:eastAsia="pl-PL"/>
        </w:rPr>
        <w:t>osoby upoważnionej do reprezentacji dewelopera</w:t>
      </w:r>
    </w:p>
    <w:p w14:paraId="5C6630CE" w14:textId="77777777" w:rsidR="006B5CB4" w:rsidRPr="005A58C0" w:rsidRDefault="006B5CB4" w:rsidP="001B2EF6">
      <w:pPr>
        <w:autoSpaceDN w:val="0"/>
        <w:spacing w:before="144" w:after="144" w:line="240" w:lineRule="auto"/>
        <w:jc w:val="right"/>
        <w:rPr>
          <w:rFonts w:ascii="Times New Roman" w:eastAsia="Times New Roman" w:hAnsi="Times New Roman" w:cs="Times New Roman"/>
          <w:b/>
          <w:bCs/>
          <w:sz w:val="20"/>
          <w:szCs w:val="20"/>
          <w:lang w:eastAsia="pl-PL"/>
        </w:rPr>
      </w:pPr>
    </w:p>
    <w:p w14:paraId="48AED7CC" w14:textId="77777777" w:rsidR="006B5CB4" w:rsidRPr="005A58C0" w:rsidRDefault="006B5CB4" w:rsidP="001B2EF6">
      <w:pPr>
        <w:autoSpaceDN w:val="0"/>
        <w:spacing w:before="144" w:after="144" w:line="240" w:lineRule="auto"/>
        <w:jc w:val="right"/>
        <w:rPr>
          <w:rFonts w:ascii="Times New Roman" w:eastAsia="Times New Roman" w:hAnsi="Times New Roman" w:cs="Times New Roman"/>
          <w:b/>
          <w:bCs/>
          <w:sz w:val="20"/>
          <w:szCs w:val="20"/>
          <w:lang w:eastAsia="pl-PL"/>
        </w:rPr>
      </w:pPr>
    </w:p>
    <w:p w14:paraId="79AFF765" w14:textId="77777777" w:rsidR="006B5CB4" w:rsidRPr="005A58C0" w:rsidRDefault="006B5CB4" w:rsidP="001B2EF6">
      <w:pPr>
        <w:autoSpaceDN w:val="0"/>
        <w:spacing w:before="144" w:after="144" w:line="240" w:lineRule="auto"/>
        <w:jc w:val="right"/>
        <w:rPr>
          <w:rFonts w:ascii="Times New Roman" w:eastAsia="Times New Roman" w:hAnsi="Times New Roman" w:cs="Times New Roman"/>
          <w:b/>
          <w:bCs/>
          <w:sz w:val="20"/>
          <w:szCs w:val="20"/>
          <w:lang w:eastAsia="pl-PL"/>
        </w:rPr>
      </w:pPr>
    </w:p>
    <w:p w14:paraId="5FE8E113" w14:textId="77777777" w:rsidR="006B5CB4" w:rsidRPr="005A58C0" w:rsidRDefault="006B5CB4" w:rsidP="001B2EF6">
      <w:pPr>
        <w:autoSpaceDN w:val="0"/>
        <w:spacing w:before="144" w:after="144" w:line="240" w:lineRule="auto"/>
        <w:jc w:val="right"/>
        <w:rPr>
          <w:rFonts w:ascii="Times New Roman" w:eastAsia="Times New Roman" w:hAnsi="Times New Roman" w:cs="Times New Roman"/>
          <w:b/>
          <w:bCs/>
          <w:sz w:val="20"/>
          <w:szCs w:val="20"/>
          <w:lang w:eastAsia="pl-PL"/>
        </w:rPr>
      </w:pPr>
    </w:p>
    <w:p w14:paraId="12CEC7B2" w14:textId="6EB2E42F" w:rsidR="001B2EF6" w:rsidRPr="005A58C0" w:rsidRDefault="001B2EF6" w:rsidP="001B2EF6">
      <w:pPr>
        <w:autoSpaceDN w:val="0"/>
        <w:spacing w:before="144" w:after="144" w:line="240" w:lineRule="auto"/>
        <w:jc w:val="right"/>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 </w:t>
      </w:r>
    </w:p>
    <w:p w14:paraId="21CFBB54" w14:textId="77777777" w:rsidR="001B2EF6" w:rsidRPr="005A58C0" w:rsidRDefault="001B2EF6" w:rsidP="001B2EF6">
      <w:pPr>
        <w:autoSpaceDN w:val="0"/>
        <w:spacing w:before="144" w:after="144" w:line="240" w:lineRule="auto"/>
        <w:jc w:val="right"/>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w:t>
      </w:r>
    </w:p>
    <w:p w14:paraId="601913DD" w14:textId="77777777" w:rsidR="006B5CB4" w:rsidRPr="005A58C0" w:rsidRDefault="006B5CB4" w:rsidP="006B5CB4">
      <w:pPr>
        <w:spacing w:after="0" w:line="240" w:lineRule="auto"/>
        <w:rPr>
          <w:rFonts w:ascii="Times New Roman" w:eastAsia="Times New Roman" w:hAnsi="Times New Roman" w:cs="Times New Roman"/>
          <w:b/>
          <w:bCs/>
          <w:sz w:val="20"/>
          <w:szCs w:val="20"/>
          <w:lang w:eastAsia="pl-PL"/>
        </w:rPr>
      </w:pPr>
    </w:p>
    <w:p w14:paraId="7608A9B8" w14:textId="77777777" w:rsidR="006B5CB4" w:rsidRPr="005A58C0" w:rsidRDefault="006B5CB4" w:rsidP="006B5CB4">
      <w:pPr>
        <w:spacing w:after="0" w:line="240" w:lineRule="auto"/>
        <w:rPr>
          <w:rFonts w:ascii="Times New Roman" w:eastAsia="Times New Roman" w:hAnsi="Times New Roman" w:cs="Times New Roman"/>
          <w:b/>
          <w:bCs/>
          <w:sz w:val="20"/>
          <w:szCs w:val="20"/>
          <w:lang w:eastAsia="pl-PL"/>
        </w:rPr>
      </w:pPr>
    </w:p>
    <w:p w14:paraId="2535CCDF" w14:textId="77777777" w:rsidR="006B5CB4" w:rsidRPr="005A58C0" w:rsidRDefault="006B5CB4" w:rsidP="006B5CB4">
      <w:pPr>
        <w:spacing w:after="0" w:line="240" w:lineRule="auto"/>
        <w:rPr>
          <w:rFonts w:ascii="Times New Roman" w:eastAsia="Times New Roman" w:hAnsi="Times New Roman" w:cs="Times New Roman"/>
          <w:b/>
          <w:bCs/>
          <w:sz w:val="20"/>
          <w:szCs w:val="20"/>
          <w:lang w:eastAsia="pl-PL"/>
        </w:rPr>
      </w:pPr>
    </w:p>
    <w:p w14:paraId="390C4920" w14:textId="4563EADC" w:rsidR="001B2EF6" w:rsidRPr="005A58C0" w:rsidRDefault="001B2EF6" w:rsidP="006B5CB4">
      <w:pPr>
        <w:spacing w:after="0" w:line="240" w:lineRule="auto"/>
        <w:rPr>
          <w:rFonts w:ascii="Times New Roman" w:eastAsia="Times New Roman" w:hAnsi="Times New Roman" w:cs="Times New Roman"/>
          <w:sz w:val="20"/>
          <w:szCs w:val="20"/>
          <w:lang w:eastAsia="pl-PL"/>
        </w:rPr>
      </w:pPr>
      <w:r w:rsidRPr="005A58C0">
        <w:rPr>
          <w:rFonts w:ascii="Times New Roman" w:eastAsia="Times New Roman" w:hAnsi="Times New Roman" w:cs="Times New Roman"/>
          <w:b/>
          <w:bCs/>
          <w:sz w:val="20"/>
          <w:szCs w:val="20"/>
          <w:lang w:eastAsia="pl-PL"/>
        </w:rPr>
        <w:t>Załączniki:</w:t>
      </w:r>
    </w:p>
    <w:p w14:paraId="275E2020"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1. Rzut kondygnacji z zaznaczeniem lokalu mieszkalnego.</w:t>
      </w:r>
    </w:p>
    <w:p w14:paraId="61033ABF"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2. Wzór umowy deweloperskiej lub umowy, o której mowa w art. 2 ust. 1 pkt 2, 3 lub 5 ustawy z dnia 20 maja 2021 r. o ochronie praw nabywcy lokalu mieszkalnego lub domu jednorodzinnego oraz Deweloperskim Funduszu Gwarancyjnym.</w:t>
      </w:r>
    </w:p>
    <w:p w14:paraId="53F1AA65" w14:textId="77777777" w:rsidR="001B2EF6" w:rsidRPr="005A58C0" w:rsidRDefault="001B2EF6" w:rsidP="001B2EF6">
      <w:pPr>
        <w:autoSpaceDN w:val="0"/>
        <w:spacing w:before="144" w:after="144" w:line="240" w:lineRule="auto"/>
        <w:jc w:val="both"/>
        <w:rPr>
          <w:rFonts w:ascii="Times New Roman" w:eastAsia="Times New Roman" w:hAnsi="Times New Roman" w:cs="Times New Roman"/>
          <w:sz w:val="20"/>
          <w:szCs w:val="20"/>
          <w:lang w:eastAsia="pl-PL"/>
        </w:rPr>
      </w:pPr>
      <w:r w:rsidRPr="005A58C0">
        <w:rPr>
          <w:rFonts w:ascii="Times New Roman" w:eastAsia="Times New Roman" w:hAnsi="Times New Roman" w:cs="Times New Roman"/>
          <w:sz w:val="20"/>
          <w:szCs w:val="20"/>
          <w:lang w:eastAsia="pl-PL"/>
        </w:rPr>
        <w:t xml:space="preserve">3. Szkic koncepcji zagospodarowania terenu inwestycji i jego otoczenia z zaznaczeniem budynku oraz istotnych uwarunkowań lokalizacji inwestycji wynikających z istniejącego stanu użytkowania terenów sąsiednich (np. z funkcji terenu, stref ochronnych, uciążliwości). </w:t>
      </w:r>
    </w:p>
    <w:p w14:paraId="46F6C1EE" w14:textId="67CE13F4" w:rsidR="008608B3" w:rsidRPr="005A58C0" w:rsidRDefault="008608B3" w:rsidP="006B5CB4">
      <w:pPr>
        <w:autoSpaceDN w:val="0"/>
        <w:spacing w:before="144" w:after="144" w:line="240" w:lineRule="auto"/>
        <w:jc w:val="both"/>
        <w:rPr>
          <w:rFonts w:ascii="Times New Roman" w:eastAsia="Times New Roman" w:hAnsi="Times New Roman" w:cs="Times New Roman"/>
          <w:sz w:val="20"/>
          <w:szCs w:val="20"/>
          <w:lang w:eastAsia="pl-PL"/>
        </w:rPr>
      </w:pPr>
    </w:p>
    <w:sectPr w:rsidR="008608B3" w:rsidRPr="005A58C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DE6A" w14:textId="77777777" w:rsidR="00AF335B" w:rsidRDefault="00AF335B" w:rsidP="00012DE6">
      <w:pPr>
        <w:spacing w:after="0" w:line="240" w:lineRule="auto"/>
      </w:pPr>
      <w:r>
        <w:separator/>
      </w:r>
    </w:p>
  </w:endnote>
  <w:endnote w:type="continuationSeparator" w:id="0">
    <w:p w14:paraId="355B0CCC" w14:textId="77777777" w:rsidR="00AF335B" w:rsidRDefault="00AF335B" w:rsidP="0001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niversPl036.25">
    <w:charset w:val="EE"/>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宋体">
    <w:altName w:val="MS Gothic"/>
    <w:charset w:val="8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569706"/>
      <w:docPartObj>
        <w:docPartGallery w:val="Page Numbers (Bottom of Page)"/>
        <w:docPartUnique/>
      </w:docPartObj>
    </w:sdtPr>
    <w:sdtEndPr/>
    <w:sdtContent>
      <w:p w14:paraId="70F6380C" w14:textId="0707BB30" w:rsidR="006C1E27" w:rsidRDefault="006C1E27">
        <w:pPr>
          <w:pStyle w:val="Stopka"/>
          <w:jc w:val="center"/>
        </w:pPr>
        <w:r>
          <w:fldChar w:fldCharType="begin"/>
        </w:r>
        <w:r>
          <w:instrText>PAGE   \* MERGEFORMAT</w:instrText>
        </w:r>
        <w:r>
          <w:fldChar w:fldCharType="separate"/>
        </w:r>
        <w:r>
          <w:t>2</w:t>
        </w:r>
        <w:r>
          <w:fldChar w:fldCharType="end"/>
        </w:r>
      </w:p>
    </w:sdtContent>
  </w:sdt>
  <w:p w14:paraId="596AF7FE" w14:textId="77777777" w:rsidR="006C1E27" w:rsidRDefault="006C1E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03C5" w14:textId="77777777" w:rsidR="00AF335B" w:rsidRDefault="00AF335B" w:rsidP="00012DE6">
      <w:pPr>
        <w:spacing w:after="0" w:line="240" w:lineRule="auto"/>
      </w:pPr>
      <w:r>
        <w:separator/>
      </w:r>
    </w:p>
  </w:footnote>
  <w:footnote w:type="continuationSeparator" w:id="0">
    <w:p w14:paraId="755CA3C5" w14:textId="77777777" w:rsidR="00AF335B" w:rsidRDefault="00AF335B" w:rsidP="00012DE6">
      <w:pPr>
        <w:spacing w:after="0" w:line="240" w:lineRule="auto"/>
      </w:pPr>
      <w:r>
        <w:continuationSeparator/>
      </w:r>
    </w:p>
  </w:footnote>
  <w:footnote w:id="1">
    <w:p w14:paraId="0C5C7097" w14:textId="697FAA1B" w:rsidR="00975B83" w:rsidRPr="00E06B7E" w:rsidRDefault="00975B83">
      <w:pPr>
        <w:pStyle w:val="Tekstprzypisudolnego"/>
        <w:rPr>
          <w:rFonts w:ascii="Times New Roman" w:hAnsi="Times New Roman" w:cs="Times New Roman"/>
        </w:rPr>
      </w:pPr>
      <w:r w:rsidRPr="00E06B7E">
        <w:rPr>
          <w:rStyle w:val="Odwoanieprzypisudolnego"/>
          <w:rFonts w:ascii="Times New Roman" w:hAnsi="Times New Roman" w:cs="Times New Roman"/>
          <w:sz w:val="16"/>
          <w:vertAlign w:val="superscript"/>
        </w:rPr>
        <w:footnoteRef/>
      </w:r>
      <w:r w:rsidRPr="00E06B7E">
        <w:rPr>
          <w:rFonts w:ascii="Times New Roman" w:hAnsi="Times New Roman" w:cs="Times New Roman"/>
          <w:sz w:val="16"/>
          <w:vertAlign w:val="superscript"/>
        </w:rPr>
        <w:t>)</w:t>
      </w:r>
      <w:r w:rsidRPr="00E06B7E">
        <w:rPr>
          <w:rFonts w:ascii="Times New Roman" w:hAnsi="Times New Roman" w:cs="Times New Roman"/>
          <w:sz w:val="16"/>
        </w:rPr>
        <w:t xml:space="preserve"> Jeżeli działka nie posiada adresu, należy opisowo określić jej położenie.</w:t>
      </w:r>
    </w:p>
  </w:footnote>
  <w:footnote w:id="2">
    <w:p w14:paraId="2706C993" w14:textId="3407AF63" w:rsidR="00975B83" w:rsidRDefault="00975B83">
      <w:pPr>
        <w:pStyle w:val="Tekstprzypisudolnego"/>
      </w:pPr>
      <w:r w:rsidRPr="00E06B7E">
        <w:rPr>
          <w:rStyle w:val="Odwoanieprzypisudolnego"/>
          <w:rFonts w:ascii="Times New Roman" w:hAnsi="Times New Roman" w:cs="Times New Roman"/>
          <w:vertAlign w:val="superscript"/>
        </w:rPr>
        <w:footnoteRef/>
      </w:r>
      <w:r w:rsidRPr="00E06B7E">
        <w:rPr>
          <w:rStyle w:val="Odwoanieprzypisudolnego"/>
          <w:rFonts w:ascii="Times New Roman" w:hAnsi="Times New Roman" w:cs="Times New Roman"/>
          <w:vertAlign w:val="superscript"/>
        </w:rPr>
        <w:t>)</w:t>
      </w:r>
      <w:r w:rsidRPr="00E06B7E">
        <w:rPr>
          <w:rFonts w:ascii="Times New Roman" w:hAnsi="Times New Roman" w:cs="Times New Roman"/>
          <w:sz w:val="16"/>
        </w:rPr>
        <w:t xml:space="preserve"> W szczególności imię i nazwisko albo firma właściciela lub użytkownika wieczystego oraz istniejące obciążenia na nieruchomości.</w:t>
      </w:r>
    </w:p>
  </w:footnote>
  <w:footnote w:id="3">
    <w:p w14:paraId="4D919B72" w14:textId="6A9DF16B" w:rsidR="00975B83" w:rsidRPr="00E06B7E" w:rsidRDefault="00975B83">
      <w:pPr>
        <w:pStyle w:val="Tekstprzypisudolnego"/>
        <w:rPr>
          <w:rFonts w:ascii="Times New Roman" w:hAnsi="Times New Roman" w:cs="Times New Roman"/>
        </w:rPr>
      </w:pPr>
      <w:r w:rsidRPr="00E06B7E">
        <w:rPr>
          <w:rStyle w:val="Odwoanieprzypisudolnego"/>
          <w:rFonts w:ascii="Times New Roman" w:hAnsi="Times New Roman" w:cs="Times New Roman"/>
          <w:vertAlign w:val="superscript"/>
        </w:rPr>
        <w:footnoteRef/>
      </w:r>
      <w:r w:rsidRPr="00E06B7E">
        <w:rPr>
          <w:rStyle w:val="Odwoanieprzypisudolnego"/>
          <w:rFonts w:ascii="Times New Roman" w:hAnsi="Times New Roman" w:cs="Times New Roman"/>
          <w:vertAlign w:val="superscript"/>
        </w:rPr>
        <w:t>)</w:t>
      </w:r>
      <w:r w:rsidRPr="00E06B7E">
        <w:rPr>
          <w:rFonts w:ascii="Times New Roman" w:hAnsi="Times New Roman" w:cs="Times New Roman"/>
          <w:sz w:val="16"/>
        </w:rPr>
        <w:t xml:space="preserve"> W szczególności obiekty generujące uciążliwości zapachowe, hałasowe, świetlne.</w:t>
      </w:r>
    </w:p>
  </w:footnote>
  <w:footnote w:id="4">
    <w:p w14:paraId="4D1CB2E2" w14:textId="305821CF" w:rsidR="00975B83" w:rsidRPr="00E06B7E" w:rsidRDefault="00975B83" w:rsidP="00012DE6">
      <w:pPr>
        <w:pStyle w:val="Tekstprzypisudolnego"/>
        <w:rPr>
          <w:rFonts w:ascii="Times New Roman" w:hAnsi="Times New Roman" w:cs="Times New Roman"/>
          <w:sz w:val="16"/>
        </w:rPr>
      </w:pPr>
      <w:r w:rsidRPr="00E06B7E">
        <w:rPr>
          <w:rStyle w:val="Odwoanieprzypisudolnego"/>
          <w:rFonts w:ascii="Times New Roman" w:hAnsi="Times New Roman" w:cs="Times New Roman"/>
          <w:vertAlign w:val="superscript"/>
        </w:rPr>
        <w:footnoteRef/>
      </w:r>
      <w:r w:rsidRPr="00E06B7E">
        <w:rPr>
          <w:rStyle w:val="Odwoanieprzypisudolnego"/>
          <w:rFonts w:ascii="Times New Roman" w:hAnsi="Times New Roman" w:cs="Times New Roman"/>
          <w:vertAlign w:val="superscript"/>
        </w:rPr>
        <w:t>)</w:t>
      </w:r>
      <w:r w:rsidRPr="00E06B7E">
        <w:rPr>
          <w:rFonts w:ascii="Times New Roman" w:hAnsi="Times New Roman" w:cs="Times New Roman"/>
          <w:sz w:val="16"/>
        </w:rPr>
        <w:t xml:space="preserve"> Akty prawne (rozporządzenia, zarządzenia, uchwały, decyzje) w sprawie: </w:t>
      </w:r>
    </w:p>
    <w:p w14:paraId="61075CB2" w14:textId="77777777" w:rsidR="00975B83" w:rsidRPr="00E06B7E" w:rsidRDefault="00975B83" w:rsidP="00012DE6">
      <w:pPr>
        <w:pStyle w:val="Tekstprzypisudolnego"/>
        <w:ind w:left="142"/>
        <w:rPr>
          <w:rFonts w:ascii="Times New Roman" w:hAnsi="Times New Roman" w:cs="Times New Roman"/>
          <w:sz w:val="16"/>
        </w:rPr>
      </w:pPr>
      <w:r w:rsidRPr="00E06B7E">
        <w:rPr>
          <w:rFonts w:ascii="Times New Roman" w:hAnsi="Times New Roman" w:cs="Times New Roman"/>
          <w:sz w:val="16"/>
        </w:rPr>
        <w:t xml:space="preserve">1) dokonania rezerwacji obszaru inwestycji (Centralny Port Komunikacyjny), </w:t>
      </w:r>
    </w:p>
    <w:p w14:paraId="727BF546" w14:textId="77777777" w:rsidR="00975B83" w:rsidRPr="00E06B7E" w:rsidRDefault="00975B83" w:rsidP="00012DE6">
      <w:pPr>
        <w:pStyle w:val="Tekstprzypisudolnego"/>
        <w:ind w:left="142"/>
        <w:rPr>
          <w:rFonts w:ascii="Times New Roman" w:hAnsi="Times New Roman" w:cs="Times New Roman"/>
          <w:sz w:val="16"/>
        </w:rPr>
      </w:pPr>
      <w:r w:rsidRPr="00E06B7E">
        <w:rPr>
          <w:rFonts w:ascii="Times New Roman" w:hAnsi="Times New Roman" w:cs="Times New Roman"/>
          <w:sz w:val="16"/>
        </w:rPr>
        <w:t xml:space="preserve">2) lokalizacji inwestycji mieszkaniowej lub inwestycji towarzyszącej, </w:t>
      </w:r>
    </w:p>
    <w:p w14:paraId="187D6BC1" w14:textId="0E0F8380" w:rsidR="00975B83" w:rsidRPr="00E06B7E" w:rsidRDefault="00975B83" w:rsidP="00012DE6">
      <w:pPr>
        <w:pStyle w:val="Tekstprzypisudolnego"/>
        <w:ind w:left="142"/>
        <w:rPr>
          <w:rFonts w:ascii="Times New Roman" w:hAnsi="Times New Roman" w:cs="Times New Roman"/>
          <w:sz w:val="16"/>
        </w:rPr>
      </w:pPr>
      <w:r w:rsidRPr="00E06B7E">
        <w:rPr>
          <w:rFonts w:ascii="Times New Roman" w:hAnsi="Times New Roman" w:cs="Times New Roman"/>
          <w:sz w:val="16"/>
        </w:rPr>
        <w:t xml:space="preserve">3) 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1E9B7F31" w14:textId="77777777" w:rsidR="00975B83" w:rsidRPr="00E06B7E" w:rsidRDefault="00975B83" w:rsidP="00012DE6">
      <w:pPr>
        <w:pStyle w:val="Tekstprzypisudolnego"/>
        <w:ind w:left="142"/>
        <w:rPr>
          <w:rFonts w:ascii="Times New Roman" w:hAnsi="Times New Roman" w:cs="Times New Roman"/>
          <w:sz w:val="16"/>
        </w:rPr>
      </w:pPr>
      <w:r w:rsidRPr="00E06B7E">
        <w:rPr>
          <w:rFonts w:ascii="Times New Roman" w:hAnsi="Times New Roman" w:cs="Times New Roman"/>
          <w:sz w:val="16"/>
        </w:rPr>
        <w:t xml:space="preserve">4) ustanowienia strefy ochronnej terenu ochrony bezpośredniej i terenu ochrony pośredniej ujęcia wody, </w:t>
      </w:r>
    </w:p>
    <w:p w14:paraId="4E6B377E" w14:textId="77777777" w:rsidR="00975B83" w:rsidRPr="00E06B7E" w:rsidRDefault="00975B83" w:rsidP="00012DE6">
      <w:pPr>
        <w:pStyle w:val="Tekstprzypisudolnego"/>
        <w:ind w:left="142"/>
        <w:rPr>
          <w:rFonts w:ascii="Times New Roman" w:hAnsi="Times New Roman" w:cs="Times New Roman"/>
          <w:sz w:val="16"/>
        </w:rPr>
      </w:pPr>
      <w:r w:rsidRPr="00E06B7E">
        <w:rPr>
          <w:rFonts w:ascii="Times New Roman" w:hAnsi="Times New Roman" w:cs="Times New Roman"/>
          <w:sz w:val="16"/>
        </w:rPr>
        <w:t xml:space="preserve">5) wyznaczenia obszarów cichych w aglomeracji lub obszarów cichych poza aglomeracją, </w:t>
      </w:r>
    </w:p>
    <w:p w14:paraId="023CBB90" w14:textId="77777777" w:rsidR="00975B83" w:rsidRPr="00E06B7E" w:rsidRDefault="00975B83" w:rsidP="00012DE6">
      <w:pPr>
        <w:pStyle w:val="Tekstprzypisudolnego"/>
        <w:ind w:left="142"/>
        <w:rPr>
          <w:rFonts w:ascii="Times New Roman" w:hAnsi="Times New Roman" w:cs="Times New Roman"/>
          <w:sz w:val="16"/>
        </w:rPr>
      </w:pPr>
      <w:r w:rsidRPr="00E06B7E">
        <w:rPr>
          <w:rFonts w:ascii="Times New Roman" w:hAnsi="Times New Roman" w:cs="Times New Roman"/>
          <w:sz w:val="16"/>
        </w:rPr>
        <w:t xml:space="preserve">6) utworzenia obszaru ograniczonego użytkowania, </w:t>
      </w:r>
    </w:p>
    <w:p w14:paraId="6EF42E2B" w14:textId="77777777" w:rsidR="00975B83" w:rsidRPr="00E06B7E" w:rsidRDefault="00975B83" w:rsidP="00012DE6">
      <w:pPr>
        <w:pStyle w:val="Tekstprzypisudolnego"/>
        <w:ind w:left="142"/>
        <w:rPr>
          <w:rFonts w:ascii="Times New Roman" w:hAnsi="Times New Roman" w:cs="Times New Roman"/>
          <w:sz w:val="16"/>
        </w:rPr>
      </w:pPr>
      <w:r w:rsidRPr="00E06B7E">
        <w:rPr>
          <w:rFonts w:ascii="Times New Roman" w:hAnsi="Times New Roman" w:cs="Times New Roman"/>
          <w:sz w:val="16"/>
        </w:rPr>
        <w:t xml:space="preserve">7) uznania zabytku za pomnik historii, </w:t>
      </w:r>
    </w:p>
    <w:p w14:paraId="289C23EE" w14:textId="77777777" w:rsidR="00975B83" w:rsidRPr="00E06B7E" w:rsidRDefault="00975B83" w:rsidP="00012DE6">
      <w:pPr>
        <w:pStyle w:val="Tekstprzypisudolnego"/>
        <w:ind w:left="142"/>
        <w:rPr>
          <w:rFonts w:ascii="Times New Roman" w:hAnsi="Times New Roman" w:cs="Times New Roman"/>
          <w:sz w:val="16"/>
        </w:rPr>
      </w:pPr>
      <w:r w:rsidRPr="00E06B7E">
        <w:rPr>
          <w:rFonts w:ascii="Times New Roman" w:hAnsi="Times New Roman" w:cs="Times New Roman"/>
          <w:sz w:val="16"/>
        </w:rPr>
        <w:t xml:space="preserve">8) określenia granic obszaru Pomnika Zagłady i jego strefy ochronnej, utworzenia parku kulturowego, </w:t>
      </w:r>
    </w:p>
    <w:p w14:paraId="627D5EDF" w14:textId="043481D2" w:rsidR="00975B83" w:rsidRDefault="00975B83" w:rsidP="00012DE6">
      <w:pPr>
        <w:pStyle w:val="Tekstprzypisudolnego"/>
        <w:ind w:left="142"/>
      </w:pPr>
      <w:r w:rsidRPr="00E06B7E">
        <w:rPr>
          <w:rFonts w:ascii="Times New Roman" w:hAnsi="Times New Roman" w:cs="Times New Roman"/>
          <w:sz w:val="16"/>
        </w:rPr>
        <w:t>9) ustalenia zasad i warunków sytuowania obiektów małej architektury, tablic reklamowych i urządzeń reklamowych oraz ogrodzeń, ich gabarytów, standardów jakościowych oraz rodzajów materiałów budowlanych.</w:t>
      </w:r>
      <w:r>
        <w:rPr>
          <w:sz w:val="18"/>
          <w:szCs w:val="18"/>
        </w:rPr>
        <w:t xml:space="preserve"> </w:t>
      </w:r>
      <w:r>
        <w:t xml:space="preserve"> </w:t>
      </w:r>
    </w:p>
  </w:footnote>
  <w:footnote w:id="5">
    <w:p w14:paraId="08AC5506" w14:textId="0DC0A141" w:rsidR="00975B83" w:rsidRPr="00E06B7E" w:rsidRDefault="00975B83">
      <w:pPr>
        <w:pStyle w:val="Tekstprzypisudolnego"/>
        <w:rPr>
          <w:rFonts w:ascii="Times New Roman" w:hAnsi="Times New Roman" w:cs="Times New Roman"/>
          <w:sz w:val="16"/>
          <w:szCs w:val="16"/>
        </w:rPr>
      </w:pPr>
      <w:r w:rsidRPr="00E06B7E">
        <w:rPr>
          <w:rStyle w:val="Odwoanieprzypisudolnego"/>
          <w:rFonts w:ascii="Times New Roman" w:hAnsi="Times New Roman" w:cs="Times New Roman"/>
          <w:sz w:val="16"/>
          <w:szCs w:val="16"/>
          <w:vertAlign w:val="superscript"/>
        </w:rPr>
        <w:footnoteRef/>
      </w:r>
      <w:r w:rsidR="00E06B7E" w:rsidRPr="00E06B7E">
        <w:rPr>
          <w:rFonts w:ascii="Times New Roman" w:hAnsi="Times New Roman" w:cs="Times New Roman"/>
          <w:sz w:val="16"/>
          <w:szCs w:val="16"/>
          <w:vertAlign w:val="superscript"/>
        </w:rPr>
        <w:t>)</w:t>
      </w:r>
      <w:r w:rsidRPr="00E06B7E">
        <w:rPr>
          <w:rFonts w:ascii="Times New Roman" w:hAnsi="Times New Roman" w:cs="Times New Roman"/>
          <w:sz w:val="16"/>
          <w:szCs w:val="16"/>
        </w:rPr>
        <w:t xml:space="preserve"> </w:t>
      </w:r>
      <w:r w:rsidR="00E06B7E" w:rsidRPr="00E06B7E">
        <w:rPr>
          <w:rFonts w:ascii="Times New Roman" w:hAnsi="Times New Roman" w:cs="Times New Roman"/>
          <w:sz w:val="16"/>
          <w:szCs w:val="16"/>
        </w:rPr>
        <w:t xml:space="preserve">W przypadku braku miejscowego planu zagospodarowania przestrzennego umieszcza się informację „Brak planu”. </w:t>
      </w:r>
    </w:p>
  </w:footnote>
  <w:footnote w:id="6">
    <w:p w14:paraId="035CA138" w14:textId="0AC62564" w:rsidR="00E06B7E" w:rsidRDefault="00E06B7E">
      <w:pPr>
        <w:pStyle w:val="Tekstprzypisudolnego"/>
        <w:rPr>
          <w:rFonts w:ascii="Times New Roman" w:hAnsi="Times New Roman" w:cs="Times New Roman"/>
          <w:sz w:val="16"/>
          <w:szCs w:val="16"/>
        </w:rPr>
      </w:pPr>
      <w:r w:rsidRPr="000600F4">
        <w:rPr>
          <w:rStyle w:val="Odwoanieprzypisudolnego"/>
          <w:rFonts w:ascii="Times New Roman" w:hAnsi="Times New Roman" w:cs="Times New Roman"/>
          <w:sz w:val="16"/>
          <w:szCs w:val="16"/>
          <w:vertAlign w:val="superscript"/>
        </w:rPr>
        <w:footnoteRef/>
      </w:r>
      <w:r w:rsidRPr="000600F4">
        <w:rPr>
          <w:rFonts w:ascii="Times New Roman" w:hAnsi="Times New Roman" w:cs="Times New Roman"/>
          <w:sz w:val="16"/>
          <w:szCs w:val="16"/>
          <w:vertAlign w:val="superscript"/>
        </w:rPr>
        <w:t>)</w:t>
      </w:r>
      <w:r w:rsidRPr="000600F4">
        <w:rPr>
          <w:rFonts w:ascii="Times New Roman" w:hAnsi="Times New Roman" w:cs="Times New Roman"/>
          <w:sz w:val="16"/>
          <w:szCs w:val="16"/>
        </w:rPr>
        <w:t xml:space="preserve"> </w:t>
      </w:r>
      <w:r w:rsidR="000600F4" w:rsidRPr="000600F4">
        <w:rPr>
          <w:rFonts w:ascii="Times New Roman" w:hAnsi="Times New Roman" w:cs="Times New Roman"/>
          <w:sz w:val="16"/>
          <w:szCs w:val="16"/>
        </w:rPr>
        <w:t xml:space="preserve">Wskazane inwestycje dotyczą w szczególności: budowy lub rozbudowy dróg, budowy linii szynowych oraz przewidzianych korytarzy powietrznych, inwestycji komunalnych, takich jak: oczyszczalnie ścieków, spalarnie śmieci, wysypiska, cmentarze. </w:t>
      </w:r>
    </w:p>
    <w:p w14:paraId="6E951989" w14:textId="77777777" w:rsidR="00C70252" w:rsidRDefault="00C70252">
      <w:pPr>
        <w:pStyle w:val="Tekstprzypisudolnego"/>
        <w:rPr>
          <w:rFonts w:ascii="Times New Roman" w:hAnsi="Times New Roman" w:cs="Times New Roman"/>
          <w:sz w:val="16"/>
          <w:szCs w:val="16"/>
        </w:rPr>
      </w:pPr>
    </w:p>
    <w:p w14:paraId="2B7541DA" w14:textId="5555A5E4" w:rsidR="00C70252" w:rsidRPr="000600F4" w:rsidRDefault="00C70252">
      <w:pPr>
        <w:pStyle w:val="Tekstprzypisudolnego"/>
        <w:rPr>
          <w:rFonts w:ascii="Times New Roman" w:hAnsi="Times New Roman" w:cs="Times New Roman"/>
          <w:sz w:val="16"/>
          <w:szCs w:val="16"/>
        </w:rPr>
      </w:pPr>
      <w:r w:rsidRPr="00E06B7E">
        <w:rPr>
          <w:rFonts w:ascii="Times New Roman" w:eastAsia="Times New Roman" w:hAnsi="Times New Roman" w:cs="Times New Roman"/>
          <w:sz w:val="16"/>
          <w:szCs w:val="18"/>
          <w:lang w:eastAsia="pl-PL"/>
        </w:rPr>
        <w:t>*</w:t>
      </w:r>
      <w:r>
        <w:rPr>
          <w:rFonts w:ascii="Times New Roman" w:eastAsia="Times New Roman" w:hAnsi="Times New Roman" w:cs="Times New Roman"/>
          <w:sz w:val="16"/>
          <w:szCs w:val="18"/>
          <w:lang w:eastAsia="pl-PL"/>
        </w:rPr>
        <w:t xml:space="preserve"> Niepotrzebne skreślić.</w:t>
      </w:r>
    </w:p>
  </w:footnote>
  <w:footnote w:id="7">
    <w:p w14:paraId="2D8246EB" w14:textId="5098E812" w:rsidR="000600F4" w:rsidRDefault="000600F4">
      <w:pPr>
        <w:pStyle w:val="Tekstprzypisudolnego"/>
        <w:rPr>
          <w:rFonts w:ascii="Times New Roman" w:hAnsi="Times New Roman" w:cs="Times New Roman"/>
          <w:sz w:val="16"/>
          <w:szCs w:val="16"/>
        </w:rPr>
      </w:pPr>
      <w:r w:rsidRPr="000600F4">
        <w:rPr>
          <w:rStyle w:val="Odwoanieprzypisudolnego"/>
          <w:rFonts w:ascii="Times New Roman" w:hAnsi="Times New Roman" w:cs="Times New Roman"/>
          <w:sz w:val="16"/>
          <w:szCs w:val="16"/>
          <w:vertAlign w:val="superscript"/>
        </w:rPr>
        <w:footnoteRef/>
      </w:r>
      <w:r w:rsidRPr="000600F4">
        <w:rPr>
          <w:rFonts w:ascii="Times New Roman" w:hAnsi="Times New Roman" w:cs="Times New Roman"/>
          <w:sz w:val="16"/>
          <w:szCs w:val="16"/>
          <w:vertAlign w:val="superscript"/>
        </w:rPr>
        <w:t>)</w:t>
      </w:r>
      <w:r w:rsidRPr="000600F4">
        <w:rPr>
          <w:rFonts w:ascii="Times New Roman" w:hAnsi="Times New Roman" w:cs="Times New Roman"/>
          <w:sz w:val="16"/>
          <w:szCs w:val="16"/>
        </w:rPr>
        <w:t xml:space="preserve"> 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 o ochronie praw nabywcy lokalu mieszkalnego lub domu jednorodzinnego oraz Deweloperskim Funduszu Gwarancyjnym. </w:t>
      </w:r>
    </w:p>
    <w:p w14:paraId="150BD4AE" w14:textId="22786A4F" w:rsidR="00C70252" w:rsidRDefault="00C70252">
      <w:pPr>
        <w:pStyle w:val="Tekstprzypisudolnego"/>
        <w:rPr>
          <w:rFonts w:ascii="Times New Roman" w:hAnsi="Times New Roman" w:cs="Times New Roman"/>
          <w:sz w:val="16"/>
          <w:szCs w:val="16"/>
        </w:rPr>
      </w:pPr>
    </w:p>
    <w:p w14:paraId="00932D5F" w14:textId="294052BB" w:rsidR="00C70252" w:rsidRPr="000600F4" w:rsidRDefault="00C70252">
      <w:pPr>
        <w:pStyle w:val="Tekstprzypisudolnego"/>
        <w:rPr>
          <w:rFonts w:ascii="Times New Roman" w:hAnsi="Times New Roman" w:cs="Times New Roman"/>
          <w:sz w:val="16"/>
          <w:szCs w:val="16"/>
        </w:rPr>
      </w:pPr>
      <w:r w:rsidRPr="00E06B7E">
        <w:rPr>
          <w:rFonts w:ascii="Times New Roman" w:eastAsia="Times New Roman" w:hAnsi="Times New Roman" w:cs="Times New Roman"/>
          <w:sz w:val="16"/>
          <w:szCs w:val="18"/>
          <w:lang w:eastAsia="pl-PL"/>
        </w:rPr>
        <w:t>*</w:t>
      </w:r>
      <w:r>
        <w:rPr>
          <w:rFonts w:ascii="Times New Roman" w:eastAsia="Times New Roman" w:hAnsi="Times New Roman" w:cs="Times New Roman"/>
          <w:sz w:val="16"/>
          <w:szCs w:val="18"/>
          <w:lang w:eastAsia="pl-PL"/>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nothing"/>
      <w:lvlText w:val="%1."/>
      <w:lvlJc w:val="left"/>
      <w:pPr>
        <w:tabs>
          <w:tab w:val="num" w:pos="1482"/>
        </w:tabs>
        <w:ind w:left="1482" w:firstLine="0"/>
      </w:pPr>
      <w:rPr>
        <w:rFonts w:ascii="Arial" w:hAnsi="Arial" w:cs="Arial"/>
        <w:b/>
        <w:bCs/>
        <w:sz w:val="22"/>
        <w:szCs w:val="22"/>
      </w:rPr>
    </w:lvl>
    <w:lvl w:ilvl="1">
      <w:start w:val="1"/>
      <w:numFmt w:val="lowerLetter"/>
      <w:suff w:val="nothing"/>
      <w:lvlText w:val="%2."/>
      <w:lvlJc w:val="left"/>
      <w:pPr>
        <w:tabs>
          <w:tab w:val="num" w:pos="1482"/>
        </w:tabs>
        <w:ind w:left="1482" w:firstLine="0"/>
      </w:pPr>
      <w:rPr>
        <w:b w:val="0"/>
      </w:rPr>
    </w:lvl>
    <w:lvl w:ilvl="2">
      <w:start w:val="1"/>
      <w:numFmt w:val="lowerRoman"/>
      <w:suff w:val="nothing"/>
      <w:lvlText w:val="%3."/>
      <w:lvlJc w:val="right"/>
      <w:pPr>
        <w:tabs>
          <w:tab w:val="num" w:pos="1482"/>
        </w:tabs>
        <w:ind w:left="1482" w:firstLine="0"/>
      </w:pPr>
    </w:lvl>
    <w:lvl w:ilvl="3">
      <w:start w:val="1"/>
      <w:numFmt w:val="decimal"/>
      <w:suff w:val="nothing"/>
      <w:lvlText w:val="%4."/>
      <w:lvlJc w:val="left"/>
      <w:pPr>
        <w:tabs>
          <w:tab w:val="num" w:pos="1482"/>
        </w:tabs>
        <w:ind w:left="1482" w:firstLine="0"/>
      </w:pPr>
    </w:lvl>
    <w:lvl w:ilvl="4">
      <w:start w:val="1"/>
      <w:numFmt w:val="lowerLetter"/>
      <w:suff w:val="nothing"/>
      <w:lvlText w:val="%5."/>
      <w:lvlJc w:val="left"/>
      <w:pPr>
        <w:tabs>
          <w:tab w:val="num" w:pos="1482"/>
        </w:tabs>
        <w:ind w:left="1482" w:firstLine="0"/>
      </w:pPr>
    </w:lvl>
    <w:lvl w:ilvl="5">
      <w:start w:val="1"/>
      <w:numFmt w:val="lowerRoman"/>
      <w:suff w:val="nothing"/>
      <w:lvlText w:val="%6."/>
      <w:lvlJc w:val="right"/>
      <w:pPr>
        <w:tabs>
          <w:tab w:val="num" w:pos="1482"/>
        </w:tabs>
        <w:ind w:left="1482" w:firstLine="0"/>
      </w:pPr>
    </w:lvl>
    <w:lvl w:ilvl="6">
      <w:start w:val="1"/>
      <w:numFmt w:val="decimal"/>
      <w:suff w:val="nothing"/>
      <w:lvlText w:val="%7."/>
      <w:lvlJc w:val="left"/>
      <w:pPr>
        <w:tabs>
          <w:tab w:val="num" w:pos="1482"/>
        </w:tabs>
        <w:ind w:left="1482" w:firstLine="0"/>
      </w:pPr>
    </w:lvl>
    <w:lvl w:ilvl="7">
      <w:start w:val="1"/>
      <w:numFmt w:val="lowerLetter"/>
      <w:suff w:val="nothing"/>
      <w:lvlText w:val="%8."/>
      <w:lvlJc w:val="left"/>
      <w:pPr>
        <w:tabs>
          <w:tab w:val="num" w:pos="1482"/>
        </w:tabs>
        <w:ind w:left="1482" w:firstLine="0"/>
      </w:pPr>
    </w:lvl>
    <w:lvl w:ilvl="8">
      <w:start w:val="1"/>
      <w:numFmt w:val="lowerRoman"/>
      <w:suff w:val="nothing"/>
      <w:lvlText w:val="%9."/>
      <w:lvlJc w:val="right"/>
      <w:pPr>
        <w:tabs>
          <w:tab w:val="num" w:pos="1482"/>
        </w:tabs>
        <w:ind w:left="1482" w:firstLine="0"/>
      </w:pPr>
    </w:lvl>
  </w:abstractNum>
  <w:abstractNum w:abstractNumId="1"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rPr>
        <w:rFonts w:ascii="Arial" w:eastAsia="UniversPl036.25"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BDB667F6"/>
    <w:name w:val="WW8Num11"/>
    <w:lvl w:ilvl="0">
      <w:start w:val="1"/>
      <w:numFmt w:val="decimal"/>
      <w:suff w:val="nothing"/>
      <w:lvlText w:val="%1."/>
      <w:lvlJc w:val="left"/>
      <w:pPr>
        <w:tabs>
          <w:tab w:val="num" w:pos="0"/>
        </w:tabs>
        <w:ind w:left="0" w:firstLine="0"/>
      </w:pPr>
      <w:rPr>
        <w:rFonts w:ascii="Arial" w:hAnsi="Arial" w:cs="Arial"/>
        <w:b w:val="0"/>
        <w:bCs w:val="0"/>
        <w:color w:val="0070C0"/>
        <w:sz w:val="22"/>
        <w:szCs w:val="22"/>
      </w:rPr>
    </w:lvl>
    <w:lvl w:ilvl="1">
      <w:start w:val="1"/>
      <w:numFmt w:val="decimal"/>
      <w:suff w:val="nothing"/>
      <w:lvlText w:val="%2)"/>
      <w:lvlJc w:val="left"/>
      <w:pPr>
        <w:tabs>
          <w:tab w:val="num" w:pos="0"/>
        </w:tabs>
        <w:ind w:left="0" w:firstLine="0"/>
      </w:pPr>
      <w:rPr>
        <w:rFonts w:cs="Arial"/>
        <w:b w:val="0"/>
      </w:r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913" w:hanging="360"/>
      </w:pPr>
      <w:rPr>
        <w:rFonts w:ascii="Symbol" w:hAnsi="Symbol" w:cs="Arial"/>
        <w:sz w:val="20"/>
        <w:szCs w:val="20"/>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930" w:hanging="360"/>
      </w:pPr>
      <w:rPr>
        <w:rFonts w:ascii="Symbol" w:hAnsi="Symbol" w:cs="Arial"/>
        <w:sz w:val="22"/>
        <w:szCs w:val="22"/>
      </w:rPr>
    </w:lvl>
  </w:abstractNum>
  <w:abstractNum w:abstractNumId="5" w15:restartNumberingAfterBreak="0">
    <w:nsid w:val="026D4A7B"/>
    <w:multiLevelType w:val="hybridMultilevel"/>
    <w:tmpl w:val="8A4047FC"/>
    <w:lvl w:ilvl="0" w:tplc="E5FA69A2">
      <w:start w:val="1"/>
      <w:numFmt w:val="decimal"/>
      <w:lvlText w:val="%1."/>
      <w:lvlJc w:val="left"/>
      <w:pPr>
        <w:ind w:left="643" w:hanging="360"/>
      </w:pPr>
      <w:rPr>
        <w:rFonts w:eastAsia="Times New Roman"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1B7170"/>
    <w:multiLevelType w:val="hybridMultilevel"/>
    <w:tmpl w:val="579205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3E376C"/>
    <w:multiLevelType w:val="hybridMultilevel"/>
    <w:tmpl w:val="0EFAF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791A03"/>
    <w:multiLevelType w:val="hybridMultilevel"/>
    <w:tmpl w:val="25A6A8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33343FF"/>
    <w:multiLevelType w:val="hybridMultilevel"/>
    <w:tmpl w:val="BACC9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8B6048"/>
    <w:multiLevelType w:val="hybridMultilevel"/>
    <w:tmpl w:val="2FD676CC"/>
    <w:lvl w:ilvl="0" w:tplc="94AAD6F6">
      <w:start w:val="1"/>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0C7E3D"/>
    <w:multiLevelType w:val="hybridMultilevel"/>
    <w:tmpl w:val="B850797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416F6D"/>
    <w:multiLevelType w:val="hybridMultilevel"/>
    <w:tmpl w:val="77BA859C"/>
    <w:lvl w:ilvl="0" w:tplc="A93A9A6A">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535CDC"/>
    <w:multiLevelType w:val="hybridMultilevel"/>
    <w:tmpl w:val="6FF6A06A"/>
    <w:lvl w:ilvl="0" w:tplc="E0CA560C">
      <w:start w:val="1"/>
      <w:numFmt w:val="decimal"/>
      <w:lvlText w:val="%1."/>
      <w:lvlJc w:val="left"/>
      <w:pPr>
        <w:ind w:left="720" w:hanging="360"/>
      </w:pPr>
      <w:rPr>
        <w:rFonts w:eastAsia="Times New Roman" w:hint="default"/>
        <w:color w:val="FF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C2872"/>
    <w:multiLevelType w:val="hybridMultilevel"/>
    <w:tmpl w:val="FD66B6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2B7B6B"/>
    <w:multiLevelType w:val="hybridMultilevel"/>
    <w:tmpl w:val="2AAA05BC"/>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501"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6" w15:restartNumberingAfterBreak="0">
    <w:nsid w:val="4E7235D6"/>
    <w:multiLevelType w:val="hybridMultilevel"/>
    <w:tmpl w:val="0B04E6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F071A0"/>
    <w:multiLevelType w:val="hybridMultilevel"/>
    <w:tmpl w:val="942E1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296A74"/>
    <w:multiLevelType w:val="hybridMultilevel"/>
    <w:tmpl w:val="3A983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3F305A"/>
    <w:multiLevelType w:val="hybridMultilevel"/>
    <w:tmpl w:val="E43C741A"/>
    <w:lvl w:ilvl="0" w:tplc="E67005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15673E7"/>
    <w:multiLevelType w:val="hybridMultilevel"/>
    <w:tmpl w:val="560A0F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DE09E2"/>
    <w:multiLevelType w:val="hybridMultilevel"/>
    <w:tmpl w:val="02F0EEE6"/>
    <w:lvl w:ilvl="0" w:tplc="7244385E">
      <w:start w:val="1"/>
      <w:numFmt w:val="decimal"/>
      <w:lvlText w:val="%1."/>
      <w:lvlJc w:val="left"/>
      <w:pPr>
        <w:ind w:left="676" w:hanging="360"/>
      </w:pPr>
      <w:rPr>
        <w:rFonts w:hint="default"/>
        <w:b w:val="0"/>
        <w:color w:val="auto"/>
        <w:sz w:val="2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2" w15:restartNumberingAfterBreak="0">
    <w:nsid w:val="70135AA5"/>
    <w:multiLevelType w:val="hybridMultilevel"/>
    <w:tmpl w:val="CDF0F0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210051"/>
    <w:multiLevelType w:val="hybridMultilevel"/>
    <w:tmpl w:val="CDAA97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3919A5"/>
    <w:multiLevelType w:val="hybridMultilevel"/>
    <w:tmpl w:val="18B8C28E"/>
    <w:lvl w:ilvl="0" w:tplc="51BC00C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8318D0"/>
    <w:multiLevelType w:val="multilevel"/>
    <w:tmpl w:val="42CC065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37C8D"/>
    <w:multiLevelType w:val="hybridMultilevel"/>
    <w:tmpl w:val="7516430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064381"/>
    <w:multiLevelType w:val="hybridMultilevel"/>
    <w:tmpl w:val="5FB2889E"/>
    <w:lvl w:ilvl="0" w:tplc="06F408AE">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0803B2"/>
    <w:multiLevelType w:val="hybridMultilevel"/>
    <w:tmpl w:val="478422D0"/>
    <w:lvl w:ilvl="0" w:tplc="F9E46C62">
      <w:start w:val="1"/>
      <w:numFmt w:val="decimal"/>
      <w:lvlText w:val="%1."/>
      <w:lvlJc w:val="left"/>
      <w:pPr>
        <w:ind w:left="720" w:hanging="360"/>
      </w:pPr>
      <w:rPr>
        <w:rFonts w:eastAsiaTheme="minorHAnsi" w:hint="default"/>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3328815">
    <w:abstractNumId w:val="0"/>
  </w:num>
  <w:num w:numId="2" w16cid:durableId="361710979">
    <w:abstractNumId w:val="1"/>
  </w:num>
  <w:num w:numId="3" w16cid:durableId="1794060395">
    <w:abstractNumId w:val="2"/>
  </w:num>
  <w:num w:numId="4" w16cid:durableId="1587765842">
    <w:abstractNumId w:val="25"/>
  </w:num>
  <w:num w:numId="5" w16cid:durableId="947855266">
    <w:abstractNumId w:val="3"/>
  </w:num>
  <w:num w:numId="6" w16cid:durableId="1132098054">
    <w:abstractNumId w:val="4"/>
  </w:num>
  <w:num w:numId="7" w16cid:durableId="659962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608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757084">
    <w:abstractNumId w:val="17"/>
  </w:num>
  <w:num w:numId="10" w16cid:durableId="2062292105">
    <w:abstractNumId w:val="16"/>
  </w:num>
  <w:num w:numId="11" w16cid:durableId="329912414">
    <w:abstractNumId w:val="6"/>
  </w:num>
  <w:num w:numId="12" w16cid:durableId="1811704061">
    <w:abstractNumId w:val="14"/>
  </w:num>
  <w:num w:numId="13" w16cid:durableId="1563369716">
    <w:abstractNumId w:val="22"/>
  </w:num>
  <w:num w:numId="14" w16cid:durableId="1897278278">
    <w:abstractNumId w:val="10"/>
  </w:num>
  <w:num w:numId="15" w16cid:durableId="178007942">
    <w:abstractNumId w:val="19"/>
  </w:num>
  <w:num w:numId="16" w16cid:durableId="1068764728">
    <w:abstractNumId w:val="20"/>
  </w:num>
  <w:num w:numId="17" w16cid:durableId="802961801">
    <w:abstractNumId w:val="13"/>
  </w:num>
  <w:num w:numId="18" w16cid:durableId="1663240508">
    <w:abstractNumId w:val="5"/>
  </w:num>
  <w:num w:numId="19" w16cid:durableId="1101990047">
    <w:abstractNumId w:val="11"/>
  </w:num>
  <w:num w:numId="20" w16cid:durableId="344596613">
    <w:abstractNumId w:val="26"/>
  </w:num>
  <w:num w:numId="21" w16cid:durableId="1815758654">
    <w:abstractNumId w:val="23"/>
  </w:num>
  <w:num w:numId="22" w16cid:durableId="963654712">
    <w:abstractNumId w:val="28"/>
  </w:num>
  <w:num w:numId="23" w16cid:durableId="1305085130">
    <w:abstractNumId w:val="21"/>
  </w:num>
  <w:num w:numId="24" w16cid:durableId="1370957718">
    <w:abstractNumId w:val="9"/>
  </w:num>
  <w:num w:numId="25" w16cid:durableId="1024287360">
    <w:abstractNumId w:val="27"/>
  </w:num>
  <w:num w:numId="26" w16cid:durableId="879053283">
    <w:abstractNumId w:val="12"/>
  </w:num>
  <w:num w:numId="27" w16cid:durableId="281889222">
    <w:abstractNumId w:val="24"/>
  </w:num>
  <w:num w:numId="28" w16cid:durableId="1584798993">
    <w:abstractNumId w:val="18"/>
  </w:num>
  <w:num w:numId="29" w16cid:durableId="485636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AA"/>
    <w:rsid w:val="00010577"/>
    <w:rsid w:val="00012DE6"/>
    <w:rsid w:val="00021EAA"/>
    <w:rsid w:val="00023C25"/>
    <w:rsid w:val="000314E7"/>
    <w:rsid w:val="00033B15"/>
    <w:rsid w:val="0003521C"/>
    <w:rsid w:val="00042885"/>
    <w:rsid w:val="00042DFA"/>
    <w:rsid w:val="00042E77"/>
    <w:rsid w:val="00050E7A"/>
    <w:rsid w:val="000600F4"/>
    <w:rsid w:val="000713A3"/>
    <w:rsid w:val="00076040"/>
    <w:rsid w:val="000819C4"/>
    <w:rsid w:val="00084458"/>
    <w:rsid w:val="000846D0"/>
    <w:rsid w:val="00091D89"/>
    <w:rsid w:val="000B476F"/>
    <w:rsid w:val="000D0063"/>
    <w:rsid w:val="000D3692"/>
    <w:rsid w:val="000F12BE"/>
    <w:rsid w:val="000F27EC"/>
    <w:rsid w:val="000F6BB2"/>
    <w:rsid w:val="00103804"/>
    <w:rsid w:val="00126844"/>
    <w:rsid w:val="00126FFA"/>
    <w:rsid w:val="0013146D"/>
    <w:rsid w:val="001347BF"/>
    <w:rsid w:val="00141002"/>
    <w:rsid w:val="00147D50"/>
    <w:rsid w:val="001504C6"/>
    <w:rsid w:val="00151CA5"/>
    <w:rsid w:val="0017051D"/>
    <w:rsid w:val="00183C5A"/>
    <w:rsid w:val="00184D72"/>
    <w:rsid w:val="001936AF"/>
    <w:rsid w:val="001B2EF6"/>
    <w:rsid w:val="001B738F"/>
    <w:rsid w:val="001C6741"/>
    <w:rsid w:val="001D0BAF"/>
    <w:rsid w:val="001E7067"/>
    <w:rsid w:val="001F0B63"/>
    <w:rsid w:val="0020319A"/>
    <w:rsid w:val="0021346A"/>
    <w:rsid w:val="0021525A"/>
    <w:rsid w:val="00225BD1"/>
    <w:rsid w:val="0024008C"/>
    <w:rsid w:val="002452A4"/>
    <w:rsid w:val="0024708C"/>
    <w:rsid w:val="002501D4"/>
    <w:rsid w:val="00252496"/>
    <w:rsid w:val="00252BE1"/>
    <w:rsid w:val="00256C5B"/>
    <w:rsid w:val="00264C20"/>
    <w:rsid w:val="00272AE5"/>
    <w:rsid w:val="00275799"/>
    <w:rsid w:val="00291F9B"/>
    <w:rsid w:val="00293545"/>
    <w:rsid w:val="0029601F"/>
    <w:rsid w:val="00297DA1"/>
    <w:rsid w:val="002C03BE"/>
    <w:rsid w:val="002C2643"/>
    <w:rsid w:val="002D2FDB"/>
    <w:rsid w:val="002F0E92"/>
    <w:rsid w:val="002F4EC9"/>
    <w:rsid w:val="00300211"/>
    <w:rsid w:val="00313444"/>
    <w:rsid w:val="0031376F"/>
    <w:rsid w:val="00334A75"/>
    <w:rsid w:val="00336A73"/>
    <w:rsid w:val="00344040"/>
    <w:rsid w:val="00347045"/>
    <w:rsid w:val="003762FF"/>
    <w:rsid w:val="00376576"/>
    <w:rsid w:val="00381B23"/>
    <w:rsid w:val="00385201"/>
    <w:rsid w:val="003871DA"/>
    <w:rsid w:val="003B0BEC"/>
    <w:rsid w:val="003E1903"/>
    <w:rsid w:val="003F42FE"/>
    <w:rsid w:val="003F71D7"/>
    <w:rsid w:val="0040327D"/>
    <w:rsid w:val="004449A4"/>
    <w:rsid w:val="00451847"/>
    <w:rsid w:val="004555E4"/>
    <w:rsid w:val="00456AF0"/>
    <w:rsid w:val="004669AD"/>
    <w:rsid w:val="00472A07"/>
    <w:rsid w:val="00476321"/>
    <w:rsid w:val="00480189"/>
    <w:rsid w:val="00481123"/>
    <w:rsid w:val="0048157E"/>
    <w:rsid w:val="00485EBB"/>
    <w:rsid w:val="004A55DA"/>
    <w:rsid w:val="004C7602"/>
    <w:rsid w:val="004D4B96"/>
    <w:rsid w:val="004E600F"/>
    <w:rsid w:val="004F4F65"/>
    <w:rsid w:val="00501C96"/>
    <w:rsid w:val="00502495"/>
    <w:rsid w:val="00511A62"/>
    <w:rsid w:val="0052337E"/>
    <w:rsid w:val="005310B4"/>
    <w:rsid w:val="0053138A"/>
    <w:rsid w:val="0053492A"/>
    <w:rsid w:val="00534EDC"/>
    <w:rsid w:val="00543193"/>
    <w:rsid w:val="00543A02"/>
    <w:rsid w:val="00551ACC"/>
    <w:rsid w:val="00573E5B"/>
    <w:rsid w:val="00575EB1"/>
    <w:rsid w:val="00583D68"/>
    <w:rsid w:val="0058538B"/>
    <w:rsid w:val="00591C23"/>
    <w:rsid w:val="005A0EC9"/>
    <w:rsid w:val="005A58C0"/>
    <w:rsid w:val="005A6D80"/>
    <w:rsid w:val="005C0227"/>
    <w:rsid w:val="005D1D89"/>
    <w:rsid w:val="005D2480"/>
    <w:rsid w:val="005D582C"/>
    <w:rsid w:val="005F17B3"/>
    <w:rsid w:val="006018A7"/>
    <w:rsid w:val="006043DA"/>
    <w:rsid w:val="00614AD6"/>
    <w:rsid w:val="00616AE7"/>
    <w:rsid w:val="00622FE2"/>
    <w:rsid w:val="0063511B"/>
    <w:rsid w:val="0064135E"/>
    <w:rsid w:val="00644F96"/>
    <w:rsid w:val="00647A4C"/>
    <w:rsid w:val="00655309"/>
    <w:rsid w:val="00657DB5"/>
    <w:rsid w:val="00664637"/>
    <w:rsid w:val="00665BE2"/>
    <w:rsid w:val="0067098C"/>
    <w:rsid w:val="00672354"/>
    <w:rsid w:val="006730FD"/>
    <w:rsid w:val="00675994"/>
    <w:rsid w:val="00682531"/>
    <w:rsid w:val="00687980"/>
    <w:rsid w:val="00695DAF"/>
    <w:rsid w:val="00696237"/>
    <w:rsid w:val="006968AB"/>
    <w:rsid w:val="006971B7"/>
    <w:rsid w:val="00697F12"/>
    <w:rsid w:val="006A6AA2"/>
    <w:rsid w:val="006A6C93"/>
    <w:rsid w:val="006A7760"/>
    <w:rsid w:val="006B465F"/>
    <w:rsid w:val="006B5CB4"/>
    <w:rsid w:val="006C1E27"/>
    <w:rsid w:val="006C7D97"/>
    <w:rsid w:val="006E09BA"/>
    <w:rsid w:val="006E1E1D"/>
    <w:rsid w:val="006E646E"/>
    <w:rsid w:val="006F176E"/>
    <w:rsid w:val="0070472A"/>
    <w:rsid w:val="00706D83"/>
    <w:rsid w:val="007104D3"/>
    <w:rsid w:val="0071438E"/>
    <w:rsid w:val="00714D18"/>
    <w:rsid w:val="00717102"/>
    <w:rsid w:val="00727C20"/>
    <w:rsid w:val="007339EA"/>
    <w:rsid w:val="0073684C"/>
    <w:rsid w:val="007456D3"/>
    <w:rsid w:val="00745E59"/>
    <w:rsid w:val="00755E54"/>
    <w:rsid w:val="0075646B"/>
    <w:rsid w:val="0076080D"/>
    <w:rsid w:val="00764F4D"/>
    <w:rsid w:val="00791CBC"/>
    <w:rsid w:val="00793D55"/>
    <w:rsid w:val="007A01D6"/>
    <w:rsid w:val="007A10C7"/>
    <w:rsid w:val="007A112C"/>
    <w:rsid w:val="007A12E9"/>
    <w:rsid w:val="007A2554"/>
    <w:rsid w:val="007B15EB"/>
    <w:rsid w:val="007D7EF9"/>
    <w:rsid w:val="007E2FF8"/>
    <w:rsid w:val="007E604C"/>
    <w:rsid w:val="007F2A81"/>
    <w:rsid w:val="00804D20"/>
    <w:rsid w:val="00807A27"/>
    <w:rsid w:val="0081182E"/>
    <w:rsid w:val="0081532F"/>
    <w:rsid w:val="0082019C"/>
    <w:rsid w:val="00843BA0"/>
    <w:rsid w:val="0085323F"/>
    <w:rsid w:val="008608B3"/>
    <w:rsid w:val="008734EE"/>
    <w:rsid w:val="00874402"/>
    <w:rsid w:val="0088592C"/>
    <w:rsid w:val="00886E74"/>
    <w:rsid w:val="00887C53"/>
    <w:rsid w:val="00893C58"/>
    <w:rsid w:val="008B5F6C"/>
    <w:rsid w:val="008B7F82"/>
    <w:rsid w:val="008C093C"/>
    <w:rsid w:val="008D6A55"/>
    <w:rsid w:val="008E4E30"/>
    <w:rsid w:val="008F0A2C"/>
    <w:rsid w:val="00902BA9"/>
    <w:rsid w:val="00903D15"/>
    <w:rsid w:val="009049D4"/>
    <w:rsid w:val="00913EA7"/>
    <w:rsid w:val="009236F3"/>
    <w:rsid w:val="00937FD4"/>
    <w:rsid w:val="00940D9F"/>
    <w:rsid w:val="00942E6A"/>
    <w:rsid w:val="00943F11"/>
    <w:rsid w:val="00944A75"/>
    <w:rsid w:val="00950AE9"/>
    <w:rsid w:val="00970190"/>
    <w:rsid w:val="00975B83"/>
    <w:rsid w:val="009817DC"/>
    <w:rsid w:val="00985E9D"/>
    <w:rsid w:val="00987596"/>
    <w:rsid w:val="00996342"/>
    <w:rsid w:val="009B66F9"/>
    <w:rsid w:val="009C1781"/>
    <w:rsid w:val="009C56EA"/>
    <w:rsid w:val="009E1147"/>
    <w:rsid w:val="009F743A"/>
    <w:rsid w:val="00A16BF9"/>
    <w:rsid w:val="00A17313"/>
    <w:rsid w:val="00A2273D"/>
    <w:rsid w:val="00A3704D"/>
    <w:rsid w:val="00A470A6"/>
    <w:rsid w:val="00A640A2"/>
    <w:rsid w:val="00A76F16"/>
    <w:rsid w:val="00A80C97"/>
    <w:rsid w:val="00A81BA2"/>
    <w:rsid w:val="00A83F90"/>
    <w:rsid w:val="00A87279"/>
    <w:rsid w:val="00A95A80"/>
    <w:rsid w:val="00AB20BB"/>
    <w:rsid w:val="00AB6C7F"/>
    <w:rsid w:val="00AB7BD6"/>
    <w:rsid w:val="00AC0BF5"/>
    <w:rsid w:val="00AD500B"/>
    <w:rsid w:val="00AF335B"/>
    <w:rsid w:val="00AF3574"/>
    <w:rsid w:val="00B03AF4"/>
    <w:rsid w:val="00B2226D"/>
    <w:rsid w:val="00B30820"/>
    <w:rsid w:val="00B32545"/>
    <w:rsid w:val="00B34394"/>
    <w:rsid w:val="00B41D75"/>
    <w:rsid w:val="00B435B1"/>
    <w:rsid w:val="00B54322"/>
    <w:rsid w:val="00B63283"/>
    <w:rsid w:val="00B64D6A"/>
    <w:rsid w:val="00B84360"/>
    <w:rsid w:val="00B90ADF"/>
    <w:rsid w:val="00B93A2F"/>
    <w:rsid w:val="00BA31B8"/>
    <w:rsid w:val="00BB1166"/>
    <w:rsid w:val="00BB30D2"/>
    <w:rsid w:val="00BB4A1B"/>
    <w:rsid w:val="00BB51CF"/>
    <w:rsid w:val="00BD3866"/>
    <w:rsid w:val="00BD438D"/>
    <w:rsid w:val="00BD7F56"/>
    <w:rsid w:val="00BE1070"/>
    <w:rsid w:val="00BE43F9"/>
    <w:rsid w:val="00C00127"/>
    <w:rsid w:val="00C00886"/>
    <w:rsid w:val="00C0195B"/>
    <w:rsid w:val="00C20334"/>
    <w:rsid w:val="00C305F6"/>
    <w:rsid w:val="00C314BF"/>
    <w:rsid w:val="00C36B34"/>
    <w:rsid w:val="00C52F95"/>
    <w:rsid w:val="00C53883"/>
    <w:rsid w:val="00C541C7"/>
    <w:rsid w:val="00C5651E"/>
    <w:rsid w:val="00C6049F"/>
    <w:rsid w:val="00C60C3F"/>
    <w:rsid w:val="00C66953"/>
    <w:rsid w:val="00C70252"/>
    <w:rsid w:val="00C83266"/>
    <w:rsid w:val="00C838AE"/>
    <w:rsid w:val="00C90C8E"/>
    <w:rsid w:val="00C90CB1"/>
    <w:rsid w:val="00C92D45"/>
    <w:rsid w:val="00C94003"/>
    <w:rsid w:val="00CB493A"/>
    <w:rsid w:val="00CB793F"/>
    <w:rsid w:val="00CC2570"/>
    <w:rsid w:val="00CF1283"/>
    <w:rsid w:val="00CF16FB"/>
    <w:rsid w:val="00CF58E1"/>
    <w:rsid w:val="00D03F3C"/>
    <w:rsid w:val="00D178EB"/>
    <w:rsid w:val="00D20AFD"/>
    <w:rsid w:val="00D2102B"/>
    <w:rsid w:val="00D21D5A"/>
    <w:rsid w:val="00D230C9"/>
    <w:rsid w:val="00D236F1"/>
    <w:rsid w:val="00D26FCE"/>
    <w:rsid w:val="00D27ABC"/>
    <w:rsid w:val="00D53BF7"/>
    <w:rsid w:val="00D53E36"/>
    <w:rsid w:val="00D71C51"/>
    <w:rsid w:val="00D76F4E"/>
    <w:rsid w:val="00D9523F"/>
    <w:rsid w:val="00DA68B3"/>
    <w:rsid w:val="00DB0753"/>
    <w:rsid w:val="00DD6E7C"/>
    <w:rsid w:val="00DE7AF1"/>
    <w:rsid w:val="00DF0909"/>
    <w:rsid w:val="00DF7226"/>
    <w:rsid w:val="00E0694E"/>
    <w:rsid w:val="00E06B7E"/>
    <w:rsid w:val="00E135D8"/>
    <w:rsid w:val="00E2137B"/>
    <w:rsid w:val="00E51DF2"/>
    <w:rsid w:val="00E613DD"/>
    <w:rsid w:val="00E72615"/>
    <w:rsid w:val="00E733A2"/>
    <w:rsid w:val="00EA5091"/>
    <w:rsid w:val="00EB298F"/>
    <w:rsid w:val="00EB39C3"/>
    <w:rsid w:val="00EC30FB"/>
    <w:rsid w:val="00EC53BE"/>
    <w:rsid w:val="00EC6917"/>
    <w:rsid w:val="00ED7330"/>
    <w:rsid w:val="00EF123B"/>
    <w:rsid w:val="00EF3C60"/>
    <w:rsid w:val="00EF524E"/>
    <w:rsid w:val="00F00316"/>
    <w:rsid w:val="00F0331E"/>
    <w:rsid w:val="00F04563"/>
    <w:rsid w:val="00F05224"/>
    <w:rsid w:val="00F100D6"/>
    <w:rsid w:val="00F60421"/>
    <w:rsid w:val="00F73865"/>
    <w:rsid w:val="00FB31EA"/>
    <w:rsid w:val="00FC26B0"/>
    <w:rsid w:val="00FC3FEF"/>
    <w:rsid w:val="00FD3335"/>
    <w:rsid w:val="00FE10D6"/>
    <w:rsid w:val="00FF4114"/>
    <w:rsid w:val="00FF47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F3D3"/>
  <w15:chartTrackingRefBased/>
  <w15:docId w15:val="{EB5460BA-3494-42F7-A526-9989386D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C305F6"/>
    <w:pPr>
      <w:keepNext/>
      <w:spacing w:after="0" w:line="240" w:lineRule="auto"/>
      <w:jc w:val="center"/>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pogrubienie">
    <w:name w:val="ppogrubienie"/>
    <w:basedOn w:val="Domylnaczcionkaakapitu"/>
    <w:rsid w:val="001B2EF6"/>
  </w:style>
  <w:style w:type="character" w:customStyle="1" w:styleId="igindeksgrny">
    <w:name w:val="igindeksgrny"/>
    <w:basedOn w:val="Domylnaczcionkaakapitu"/>
    <w:rsid w:val="001B2EF6"/>
  </w:style>
  <w:style w:type="character" w:styleId="Odwoanieprzypisudolnego">
    <w:name w:val="footnote reference"/>
    <w:basedOn w:val="Domylnaczcionkaakapitu"/>
    <w:uiPriority w:val="99"/>
    <w:semiHidden/>
    <w:unhideWhenUsed/>
    <w:rsid w:val="001B2EF6"/>
  </w:style>
  <w:style w:type="character" w:styleId="Odwoaniedokomentarza">
    <w:name w:val="annotation reference"/>
    <w:basedOn w:val="Domylnaczcionkaakapitu"/>
    <w:uiPriority w:val="99"/>
    <w:semiHidden/>
    <w:unhideWhenUsed/>
    <w:rsid w:val="007A112C"/>
    <w:rPr>
      <w:sz w:val="16"/>
      <w:szCs w:val="16"/>
    </w:rPr>
  </w:style>
  <w:style w:type="paragraph" w:styleId="Tekstkomentarza">
    <w:name w:val="annotation text"/>
    <w:basedOn w:val="Normalny"/>
    <w:link w:val="TekstkomentarzaZnak"/>
    <w:uiPriority w:val="99"/>
    <w:unhideWhenUsed/>
    <w:rsid w:val="007A112C"/>
    <w:pPr>
      <w:spacing w:line="240" w:lineRule="auto"/>
    </w:pPr>
    <w:rPr>
      <w:sz w:val="20"/>
      <w:szCs w:val="20"/>
    </w:rPr>
  </w:style>
  <w:style w:type="character" w:customStyle="1" w:styleId="TekstkomentarzaZnak">
    <w:name w:val="Tekst komentarza Znak"/>
    <w:basedOn w:val="Domylnaczcionkaakapitu"/>
    <w:link w:val="Tekstkomentarza"/>
    <w:uiPriority w:val="99"/>
    <w:rsid w:val="007A112C"/>
    <w:rPr>
      <w:sz w:val="20"/>
      <w:szCs w:val="20"/>
    </w:rPr>
  </w:style>
  <w:style w:type="paragraph" w:styleId="Tematkomentarza">
    <w:name w:val="annotation subject"/>
    <w:basedOn w:val="Tekstkomentarza"/>
    <w:next w:val="Tekstkomentarza"/>
    <w:link w:val="TematkomentarzaZnak"/>
    <w:uiPriority w:val="99"/>
    <w:semiHidden/>
    <w:unhideWhenUsed/>
    <w:rsid w:val="007A112C"/>
    <w:rPr>
      <w:b/>
      <w:bCs/>
    </w:rPr>
  </w:style>
  <w:style w:type="character" w:customStyle="1" w:styleId="TematkomentarzaZnak">
    <w:name w:val="Temat komentarza Znak"/>
    <w:basedOn w:val="TekstkomentarzaZnak"/>
    <w:link w:val="Tematkomentarza"/>
    <w:uiPriority w:val="99"/>
    <w:semiHidden/>
    <w:rsid w:val="007A112C"/>
    <w:rPr>
      <w:b/>
      <w:bCs/>
      <w:sz w:val="20"/>
      <w:szCs w:val="20"/>
    </w:rPr>
  </w:style>
  <w:style w:type="paragraph" w:styleId="Tekstdymka">
    <w:name w:val="Balloon Text"/>
    <w:basedOn w:val="Normalny"/>
    <w:link w:val="TekstdymkaZnak"/>
    <w:uiPriority w:val="99"/>
    <w:semiHidden/>
    <w:unhideWhenUsed/>
    <w:rsid w:val="007A11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112C"/>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012D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12DE6"/>
    <w:rPr>
      <w:sz w:val="20"/>
      <w:szCs w:val="20"/>
    </w:rPr>
  </w:style>
  <w:style w:type="paragraph" w:customStyle="1" w:styleId="Default">
    <w:name w:val="Default"/>
    <w:rsid w:val="00012DE6"/>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151CA5"/>
    <w:pPr>
      <w:suppressAutoHyphens/>
      <w:spacing w:after="0" w:line="240" w:lineRule="auto"/>
    </w:pPr>
    <w:rPr>
      <w:rFonts w:ascii="Times New Roman" w:eastAsia="Times New Roman" w:hAnsi="Times New Roman" w:cs="Times New Roman"/>
      <w:b/>
      <w:bCs/>
      <w:color w:val="000000"/>
      <w:sz w:val="24"/>
      <w:szCs w:val="24"/>
      <w:lang w:eastAsia="ar-SA"/>
    </w:rPr>
  </w:style>
  <w:style w:type="character" w:customStyle="1" w:styleId="TekstpodstawowyZnak">
    <w:name w:val="Tekst podstawowy Znak"/>
    <w:basedOn w:val="Domylnaczcionkaakapitu"/>
    <w:link w:val="Tekstpodstawowy"/>
    <w:rsid w:val="00151CA5"/>
    <w:rPr>
      <w:rFonts w:ascii="Times New Roman" w:eastAsia="Times New Roman" w:hAnsi="Times New Roman" w:cs="Times New Roman"/>
      <w:b/>
      <w:bCs/>
      <w:color w:val="000000"/>
      <w:sz w:val="24"/>
      <w:szCs w:val="24"/>
      <w:lang w:eastAsia="ar-SA"/>
    </w:rPr>
  </w:style>
  <w:style w:type="paragraph" w:styleId="Akapitzlist">
    <w:name w:val="List Paragraph"/>
    <w:basedOn w:val="Normalny"/>
    <w:link w:val="AkapitzlistZnak"/>
    <w:uiPriority w:val="34"/>
    <w:qFormat/>
    <w:rsid w:val="00151CA5"/>
    <w:pPr>
      <w:suppressAutoHyphens/>
      <w:spacing w:after="0" w:line="240" w:lineRule="auto"/>
      <w:ind w:left="720"/>
    </w:pPr>
    <w:rPr>
      <w:rFonts w:ascii="Times New Roman" w:eastAsia="Times New Roman" w:hAnsi="Times New Roman" w:cs="Times New Roman"/>
      <w:sz w:val="20"/>
      <w:szCs w:val="20"/>
      <w:lang w:eastAsia="ar-SA"/>
    </w:rPr>
  </w:style>
  <w:style w:type="character" w:customStyle="1" w:styleId="AkapitzlistZnak">
    <w:name w:val="Akapit z listą Znak"/>
    <w:link w:val="Akapitzlist"/>
    <w:uiPriority w:val="34"/>
    <w:locked/>
    <w:rsid w:val="00151CA5"/>
    <w:rPr>
      <w:rFonts w:ascii="Times New Roman" w:eastAsia="Times New Roman" w:hAnsi="Times New Roman" w:cs="Times New Roman"/>
      <w:sz w:val="20"/>
      <w:szCs w:val="20"/>
      <w:lang w:eastAsia="ar-SA"/>
    </w:rPr>
  </w:style>
  <w:style w:type="paragraph" w:customStyle="1" w:styleId="WW-Tretekstu">
    <w:name w:val="WW-Treść tekstu"/>
    <w:basedOn w:val="Normalny"/>
    <w:rsid w:val="00940D9F"/>
    <w:pPr>
      <w:suppressAutoHyphens/>
      <w:spacing w:after="0" w:line="100" w:lineRule="atLeast"/>
    </w:pPr>
    <w:rPr>
      <w:rFonts w:ascii="Times New Roman" w:eastAsia="Times New Roman" w:hAnsi="Times New Roman" w:cs="Times New Roman"/>
      <w:b/>
      <w:bCs/>
      <w:color w:val="000000"/>
      <w:sz w:val="24"/>
      <w:szCs w:val="24"/>
      <w:lang w:eastAsia="ar-SA"/>
    </w:rPr>
  </w:style>
  <w:style w:type="paragraph" w:styleId="NormalnyWeb">
    <w:name w:val="Normal (Web)"/>
    <w:basedOn w:val="Normalny"/>
    <w:uiPriority w:val="99"/>
    <w:rsid w:val="006B5CB4"/>
    <w:pPr>
      <w:spacing w:before="100" w:after="119" w:line="240" w:lineRule="auto"/>
    </w:pPr>
    <w:rPr>
      <w:rFonts w:ascii="Times New Roman" w:eastAsia="Times New Roman" w:hAnsi="Times New Roman" w:cs="Times New Roman"/>
      <w:sz w:val="24"/>
      <w:szCs w:val="24"/>
      <w:lang w:eastAsia="ar-SA"/>
    </w:rPr>
  </w:style>
  <w:style w:type="paragraph" w:customStyle="1" w:styleId="Textbody">
    <w:name w:val="Text body"/>
    <w:basedOn w:val="Normalny"/>
    <w:rsid w:val="006B5CB4"/>
    <w:pPr>
      <w:suppressAutoHyphens/>
      <w:autoSpaceDN w:val="0"/>
      <w:spacing w:after="120" w:line="240" w:lineRule="auto"/>
      <w:textAlignment w:val="baseline"/>
    </w:pPr>
    <w:rPr>
      <w:rFonts w:ascii="Times New Roman" w:eastAsia="Times New Roman" w:hAnsi="Times New Roman" w:cs="Times New Roman"/>
      <w:kern w:val="3"/>
      <w:sz w:val="24"/>
      <w:szCs w:val="24"/>
      <w:lang w:eastAsia="zh-CN"/>
    </w:rPr>
  </w:style>
  <w:style w:type="paragraph" w:styleId="Nagwek">
    <w:name w:val="header"/>
    <w:basedOn w:val="Normalny"/>
    <w:link w:val="NagwekZnak"/>
    <w:uiPriority w:val="99"/>
    <w:unhideWhenUsed/>
    <w:rsid w:val="006C1E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1E27"/>
  </w:style>
  <w:style w:type="paragraph" w:styleId="Stopka">
    <w:name w:val="footer"/>
    <w:basedOn w:val="Normalny"/>
    <w:link w:val="StopkaZnak"/>
    <w:uiPriority w:val="99"/>
    <w:unhideWhenUsed/>
    <w:rsid w:val="006C1E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1E27"/>
  </w:style>
  <w:style w:type="character" w:styleId="Hipercze">
    <w:name w:val="Hyperlink"/>
    <w:basedOn w:val="Domylnaczcionkaakapitu"/>
    <w:uiPriority w:val="99"/>
    <w:semiHidden/>
    <w:unhideWhenUsed/>
    <w:rsid w:val="00A2273D"/>
    <w:rPr>
      <w:color w:val="0000FF"/>
      <w:u w:val="single"/>
    </w:rPr>
  </w:style>
  <w:style w:type="paragraph" w:styleId="Tekstpodstawowywcity">
    <w:name w:val="Body Text Indent"/>
    <w:basedOn w:val="Normalny"/>
    <w:link w:val="TekstpodstawowywcityZnak"/>
    <w:uiPriority w:val="99"/>
    <w:semiHidden/>
    <w:unhideWhenUsed/>
    <w:rsid w:val="00BB51CF"/>
    <w:pPr>
      <w:spacing w:after="120"/>
      <w:ind w:left="283"/>
    </w:pPr>
  </w:style>
  <w:style w:type="character" w:customStyle="1" w:styleId="TekstpodstawowywcityZnak">
    <w:name w:val="Tekst podstawowy wcięty Znak"/>
    <w:basedOn w:val="Domylnaczcionkaakapitu"/>
    <w:link w:val="Tekstpodstawowywcity"/>
    <w:uiPriority w:val="99"/>
    <w:semiHidden/>
    <w:rsid w:val="00BB51CF"/>
  </w:style>
  <w:style w:type="character" w:customStyle="1" w:styleId="Nagwek1Znak">
    <w:name w:val="Nagłówek 1 Znak"/>
    <w:basedOn w:val="Domylnaczcionkaakapitu"/>
    <w:link w:val="Nagwek1"/>
    <w:rsid w:val="00C305F6"/>
    <w:rPr>
      <w:rFonts w:ascii="Times New Roman" w:eastAsia="Times New Roman" w:hAnsi="Times New Roman" w:cs="Times New Roman"/>
      <w:b/>
      <w:bCs/>
      <w:sz w:val="24"/>
      <w:szCs w:val="24"/>
      <w:lang w:eastAsia="pl-PL"/>
    </w:rPr>
  </w:style>
  <w:style w:type="paragraph" w:styleId="Tytu">
    <w:name w:val="Title"/>
    <w:basedOn w:val="Normalny"/>
    <w:link w:val="TytuZnak"/>
    <w:qFormat/>
    <w:rsid w:val="00C305F6"/>
    <w:pPr>
      <w:spacing w:after="0" w:line="36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C305F6"/>
    <w:rPr>
      <w:rFonts w:ascii="Times New Roman" w:eastAsia="Times New Roman" w:hAnsi="Times New Roman" w:cs="Times New Roman"/>
      <w:b/>
      <w:bCs/>
      <w:sz w:val="24"/>
      <w:szCs w:val="24"/>
      <w:lang w:eastAsia="pl-PL"/>
    </w:rPr>
  </w:style>
  <w:style w:type="paragraph" w:customStyle="1" w:styleId="pf0">
    <w:name w:val="pf0"/>
    <w:basedOn w:val="Normalny"/>
    <w:rsid w:val="006968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6968AB"/>
    <w:rPr>
      <w:rFonts w:ascii="Segoe UI" w:hAnsi="Segoe UI" w:cs="Segoe UI" w:hint="default"/>
      <w:color w:val="212529"/>
      <w:sz w:val="18"/>
      <w:szCs w:val="18"/>
      <w:shd w:val="clear" w:color="auto" w:fill="FFFFFF"/>
    </w:rPr>
  </w:style>
  <w:style w:type="character" w:customStyle="1" w:styleId="cf21">
    <w:name w:val="cf21"/>
    <w:basedOn w:val="Domylnaczcionkaakapitu"/>
    <w:rsid w:val="006968AB"/>
    <w:rPr>
      <w:rFonts w:ascii="Segoe UI" w:hAnsi="Segoe UI" w:cs="Segoe UI" w:hint="default"/>
      <w:sz w:val="18"/>
      <w:szCs w:val="18"/>
      <w:shd w:val="clear" w:color="auto" w:fill="FFFFFF"/>
    </w:rPr>
  </w:style>
  <w:style w:type="character" w:styleId="Pogrubienie">
    <w:name w:val="Strong"/>
    <w:basedOn w:val="Domylnaczcionkaakapitu"/>
    <w:uiPriority w:val="22"/>
    <w:qFormat/>
    <w:rsid w:val="003871DA"/>
    <w:rPr>
      <w:b/>
      <w:bCs/>
    </w:rPr>
  </w:style>
  <w:style w:type="paragraph" w:styleId="Bezodstpw">
    <w:name w:val="No Spacing"/>
    <w:uiPriority w:val="1"/>
    <w:qFormat/>
    <w:rsid w:val="007E2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0983">
      <w:bodyDiv w:val="1"/>
      <w:marLeft w:val="0"/>
      <w:marRight w:val="0"/>
      <w:marTop w:val="0"/>
      <w:marBottom w:val="0"/>
      <w:divBdr>
        <w:top w:val="none" w:sz="0" w:space="0" w:color="auto"/>
        <w:left w:val="none" w:sz="0" w:space="0" w:color="auto"/>
        <w:bottom w:val="none" w:sz="0" w:space="0" w:color="auto"/>
        <w:right w:val="none" w:sz="0" w:space="0" w:color="auto"/>
      </w:divBdr>
    </w:div>
    <w:div w:id="651060934">
      <w:bodyDiv w:val="1"/>
      <w:marLeft w:val="0"/>
      <w:marRight w:val="0"/>
      <w:marTop w:val="0"/>
      <w:marBottom w:val="0"/>
      <w:divBdr>
        <w:top w:val="none" w:sz="0" w:space="0" w:color="auto"/>
        <w:left w:val="none" w:sz="0" w:space="0" w:color="auto"/>
        <w:bottom w:val="none" w:sz="0" w:space="0" w:color="auto"/>
        <w:right w:val="none" w:sz="0" w:space="0" w:color="auto"/>
      </w:divBdr>
    </w:div>
    <w:div w:id="744229358">
      <w:bodyDiv w:val="1"/>
      <w:marLeft w:val="0"/>
      <w:marRight w:val="0"/>
      <w:marTop w:val="0"/>
      <w:marBottom w:val="0"/>
      <w:divBdr>
        <w:top w:val="none" w:sz="0" w:space="0" w:color="auto"/>
        <w:left w:val="none" w:sz="0" w:space="0" w:color="auto"/>
        <w:bottom w:val="none" w:sz="0" w:space="0" w:color="auto"/>
        <w:right w:val="none" w:sz="0" w:space="0" w:color="auto"/>
      </w:divBdr>
    </w:div>
    <w:div w:id="903641735">
      <w:bodyDiv w:val="1"/>
      <w:marLeft w:val="0"/>
      <w:marRight w:val="0"/>
      <w:marTop w:val="0"/>
      <w:marBottom w:val="0"/>
      <w:divBdr>
        <w:top w:val="none" w:sz="0" w:space="0" w:color="auto"/>
        <w:left w:val="none" w:sz="0" w:space="0" w:color="auto"/>
        <w:bottom w:val="none" w:sz="0" w:space="0" w:color="auto"/>
        <w:right w:val="none" w:sz="0" w:space="0" w:color="auto"/>
      </w:divBdr>
    </w:div>
    <w:div w:id="1140657090">
      <w:bodyDiv w:val="1"/>
      <w:marLeft w:val="0"/>
      <w:marRight w:val="0"/>
      <w:marTop w:val="0"/>
      <w:marBottom w:val="0"/>
      <w:divBdr>
        <w:top w:val="none" w:sz="0" w:space="0" w:color="auto"/>
        <w:left w:val="none" w:sz="0" w:space="0" w:color="auto"/>
        <w:bottom w:val="none" w:sz="0" w:space="0" w:color="auto"/>
        <w:right w:val="none" w:sz="0" w:space="0" w:color="auto"/>
      </w:divBdr>
    </w:div>
    <w:div w:id="1286735013">
      <w:bodyDiv w:val="1"/>
      <w:marLeft w:val="0"/>
      <w:marRight w:val="0"/>
      <w:marTop w:val="0"/>
      <w:marBottom w:val="0"/>
      <w:divBdr>
        <w:top w:val="none" w:sz="0" w:space="0" w:color="auto"/>
        <w:left w:val="none" w:sz="0" w:space="0" w:color="auto"/>
        <w:bottom w:val="none" w:sz="0" w:space="0" w:color="auto"/>
        <w:right w:val="none" w:sz="0" w:space="0" w:color="auto"/>
      </w:divBdr>
    </w:div>
    <w:div w:id="1528105637">
      <w:bodyDiv w:val="1"/>
      <w:marLeft w:val="0"/>
      <w:marRight w:val="0"/>
      <w:marTop w:val="0"/>
      <w:marBottom w:val="0"/>
      <w:divBdr>
        <w:top w:val="none" w:sz="0" w:space="0" w:color="auto"/>
        <w:left w:val="none" w:sz="0" w:space="0" w:color="auto"/>
        <w:bottom w:val="none" w:sz="0" w:space="0" w:color="auto"/>
        <w:right w:val="none" w:sz="0" w:space="0" w:color="auto"/>
      </w:divBdr>
    </w:div>
    <w:div w:id="1592349621">
      <w:bodyDiv w:val="1"/>
      <w:marLeft w:val="0"/>
      <w:marRight w:val="0"/>
      <w:marTop w:val="0"/>
      <w:marBottom w:val="0"/>
      <w:divBdr>
        <w:top w:val="none" w:sz="0" w:space="0" w:color="auto"/>
        <w:left w:val="none" w:sz="0" w:space="0" w:color="auto"/>
        <w:bottom w:val="none" w:sz="0" w:space="0" w:color="auto"/>
        <w:right w:val="none" w:sz="0" w:space="0" w:color="auto"/>
      </w:divBdr>
    </w:div>
    <w:div w:id="1713849837">
      <w:bodyDiv w:val="1"/>
      <w:marLeft w:val="0"/>
      <w:marRight w:val="0"/>
      <w:marTop w:val="0"/>
      <w:marBottom w:val="0"/>
      <w:divBdr>
        <w:top w:val="none" w:sz="0" w:space="0" w:color="auto"/>
        <w:left w:val="none" w:sz="0" w:space="0" w:color="auto"/>
        <w:bottom w:val="none" w:sz="0" w:space="0" w:color="auto"/>
        <w:right w:val="none" w:sz="0" w:space="0" w:color="auto"/>
      </w:divBdr>
    </w:div>
    <w:div w:id="18445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wikipedia.org/wiki/Warszaw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wikipedia.org/wiki/Ulica_Prosta_w_Warszaw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ap.sejm.gov.pl/isap.nsf/DocDetails.xsp?id=WDU2022000167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siegiwieczyste.pl/previews/new?preview%5Bguuid%5D=01699961B868F42140CC8B317FCB1FDA7B7F327D3A54D3C448B7E8BC79367BA1F4FB17127BABF42E245C94720420AC2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6D406DF55A6BB47A131EF3A99E2464F" ma:contentTypeVersion="0" ma:contentTypeDescription="Utwórz nowy dokument." ma:contentTypeScope="" ma:versionID="8e346c0f5bacfda975704d31398eff05">
  <xsd:schema xmlns:xsd="http://www.w3.org/2001/XMLSchema" xmlns:xs="http://www.w3.org/2001/XMLSchema" xmlns:p="http://schemas.microsoft.com/office/2006/metadata/properties" targetNamespace="http://schemas.microsoft.com/office/2006/metadata/properties" ma:root="true" ma:fieldsID="d08c8d0f763b209da02ef22a800245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6E3BB-D58F-45BC-AA33-41E4FABDEE8A}">
  <ds:schemaRefs>
    <ds:schemaRef ds:uri="http://schemas.microsoft.com/sharepoint/v3/contenttype/forms"/>
  </ds:schemaRefs>
</ds:datastoreItem>
</file>

<file path=customXml/itemProps2.xml><?xml version="1.0" encoding="utf-8"?>
<ds:datastoreItem xmlns:ds="http://schemas.openxmlformats.org/officeDocument/2006/customXml" ds:itemID="{56DB721E-5924-4257-8678-395878CCBCC2}">
  <ds:schemaRefs>
    <ds:schemaRef ds:uri="http://schemas.openxmlformats.org/officeDocument/2006/bibliography"/>
  </ds:schemaRefs>
</ds:datastoreItem>
</file>

<file path=customXml/itemProps3.xml><?xml version="1.0" encoding="utf-8"?>
<ds:datastoreItem xmlns:ds="http://schemas.openxmlformats.org/officeDocument/2006/customXml" ds:itemID="{B58DAB0F-01C9-436F-A58C-52A251AB2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338513-C490-46AB-BC70-338057167F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7108</Words>
  <Characters>42653</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49662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Kałek Agnieszka</dc:creator>
  <cp:keywords/>
  <dc:description/>
  <cp:lastModifiedBy>kdrapinska</cp:lastModifiedBy>
  <cp:revision>18</cp:revision>
  <dcterms:created xsi:type="dcterms:W3CDTF">2024-09-27T11:19:00Z</dcterms:created>
  <dcterms:modified xsi:type="dcterms:W3CDTF">2025-12-17T12:36:00Z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0x010100D6D406DF55A6BB47A131EF3A99E2464F</vt:lpwstr>
  </property>
  <property fmtid="{D5CDD505-2E9C-101B-9397-08002B2CF9AE}" pid="3" name="IsMyDocuments">
    <vt:bool>true</vt:bool>
  </property>
</Properties>
</file>